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40vaj242dqtl" w:id="0"/>
      <w:bookmarkEnd w:id="0"/>
      <w:r w:rsidDel="00000000" w:rsidR="00000000" w:rsidRPr="00000000">
        <w:rPr>
          <w:rtl w:val="0"/>
        </w:rPr>
        <w:t xml:space="preserve">Pupil premium strategy statement </w:t>
      </w:r>
      <w:r w:rsidDel="00000000" w:rsidR="00000000" w:rsidRPr="00000000">
        <w:rPr>
          <w:u w:val="single"/>
          <w:rtl w:val="0"/>
        </w:rPr>
        <w:t xml:space="preserve">Snettisham Primary</w:t>
      </w:r>
      <w:r w:rsidDel="00000000" w:rsidR="00000000" w:rsidRPr="00000000">
        <w:rPr>
          <w:rtl w:val="0"/>
        </w:rPr>
        <w:t xml:space="preserve">  26-27</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10456.0" w:type="dxa"/>
        <w:jc w:val="left"/>
        <w:tblLayout w:type="fixed"/>
        <w:tblLook w:val="0400"/>
      </w:tblPr>
      <w:tblGrid>
        <w:gridCol w:w="7183"/>
        <w:gridCol w:w="3273"/>
        <w:tblGridChange w:id="0">
          <w:tblGrid>
            <w:gridCol w:w="7183"/>
            <w:gridCol w:w="32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80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Proportion (%) of pupil premium eligible pupils (targeted FSM)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15/80= 19%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Proportion (%) of expanded FSM pupils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19/80= 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Total Proportion of FSM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34/80 = 43%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Proportion (%) of targeted FSM with additional SEND needs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6/15 = 40%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Proportion of PLAC pupils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1/80 = 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Academic year/years that our current pupil premium strategy plan covers </w:t>
            </w:r>
            <w:r w:rsidDel="00000000" w:rsidR="00000000" w:rsidRPr="00000000">
              <w:rPr>
                <w:b w:val="1"/>
                <w:bCs w:val="1"/>
                <w:rtl w:val="0"/>
              </w:rPr>
              <w:t xml:space="preserve">(3-year plans are recommended – you must still publish an updated statement each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2025-2026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2026-2027</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2027-2028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September 2026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September 2027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Louise Jackson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Ellie Jones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Governor / Trustee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Emma Champion </w:t>
            </w:r>
          </w:p>
        </w:tc>
      </w:tr>
    </w:tbl>
    <w:p w:rsidR="00000000" w:rsidDel="00000000" w:rsidP="00000000" w:rsidRDefault="00000000" w:rsidRPr="00000000" w14:paraId="00000021">
      <w:pPr>
        <w:pStyle w:val="Heading2"/>
        <w:rPr/>
      </w:pPr>
      <w:r w:rsidDel="00000000" w:rsidR="00000000" w:rsidRPr="00000000">
        <w:rPr>
          <w:rtl w:val="0"/>
        </w:rPr>
        <w:t xml:space="preserve">Funding overview</w:t>
      </w:r>
    </w:p>
    <w:tbl>
      <w:tblPr>
        <w:tblStyle w:val="Table2"/>
        <w:tblW w:w="10485.0" w:type="dxa"/>
        <w:jc w:val="left"/>
        <w:tblLayout w:type="fixed"/>
        <w:tblLook w:val="0400"/>
      </w:tblPr>
      <w:tblGrid>
        <w:gridCol w:w="6516"/>
        <w:gridCol w:w="3969"/>
        <w:tblGridChange w:id="0">
          <w:tblGrid>
            <w:gridCol w:w="6516"/>
            <w:gridCol w:w="3969"/>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60" w:before="60" w:line="240" w:lineRule="auto"/>
              <w:rPr>
                <w:color w:val="222222"/>
                <w:sz w:val="22"/>
                <w:szCs w:val="22"/>
              </w:rPr>
            </w:pPr>
            <w:r w:rsidDel="00000000" w:rsidR="00000000" w:rsidRPr="00000000">
              <w:rPr>
                <w:rtl w:val="0"/>
              </w:rPr>
            </w:r>
          </w:p>
          <w:p w:rsidR="00000000" w:rsidDel="00000000" w:rsidP="00000000" w:rsidRDefault="00000000" w:rsidRPr="00000000" w14:paraId="00000026">
            <w:pPr>
              <w:shd w:fill="ffffff" w:val="clear"/>
              <w:spacing w:after="60" w:before="60" w:line="240" w:lineRule="auto"/>
              <w:rPr>
                <w:color w:val="222222"/>
              </w:rPr>
            </w:pPr>
            <w:r w:rsidDel="00000000" w:rsidR="00000000" w:rsidRPr="00000000">
              <w:rPr>
                <w:color w:val="222222"/>
                <w:rtl w:val="0"/>
              </w:rPr>
              <w:t xml:space="preserve">Budget £49,163</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60" w:line="240" w:lineRule="auto"/>
              <w:rPr/>
            </w:pPr>
            <w:r w:rsidDel="00000000" w:rsidR="00000000" w:rsidRPr="00000000">
              <w:rPr>
                <w:rtl w:val="0"/>
              </w:rPr>
              <w:t xml:space="preserve">Pupil premium funding carried forward from previous years </w:t>
            </w:r>
            <w:r w:rsidDel="00000000" w:rsidR="00000000" w:rsidRPr="00000000">
              <w:rPr>
                <w:i w:val="1"/>
                <w:iCs w:val="1"/>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60" w:line="240" w:lineRule="auto"/>
              <w:rPr>
                <w:b w:val="1"/>
                <w:bCs w:val="1"/>
              </w:rPr>
            </w:pPr>
            <w:r w:rsidDel="00000000" w:rsidR="00000000" w:rsidRPr="00000000">
              <w:rPr>
                <w:b w:val="1"/>
                <w:bCs w:val="1"/>
                <w:rtl w:val="0"/>
              </w:rPr>
              <w:t xml:space="preserve">Total budget for this academic year</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60" w:before="60" w:line="240" w:lineRule="auto"/>
              <w:rPr>
                <w:i w:val="1"/>
                <w:iCs w:val="1"/>
              </w:rPr>
            </w:pPr>
            <w:r w:rsidDel="00000000" w:rsidR="00000000" w:rsidRPr="00000000">
              <w:rPr>
                <w:i w:val="1"/>
                <w:iCs w:val="1"/>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£49,163</w:t>
            </w:r>
          </w:p>
        </w:tc>
      </w:tr>
    </w:tbl>
    <w:p w:rsidR="00000000" w:rsidDel="00000000" w:rsidP="00000000" w:rsidRDefault="00000000" w:rsidRPr="00000000" w14:paraId="0000002D">
      <w:pPr>
        <w:pStyle w:val="Heading1"/>
        <w:rPr/>
      </w:pPr>
      <w:r w:rsidDel="00000000" w:rsidR="00000000" w:rsidRPr="00000000">
        <w:rPr>
          <w:rtl w:val="0"/>
        </w:rPr>
        <w:t xml:space="preserve">Part A: Pupil premium strategy plan</w:t>
      </w:r>
    </w:p>
    <w:p w:rsidR="00000000" w:rsidDel="00000000" w:rsidP="00000000" w:rsidRDefault="00000000" w:rsidRPr="00000000" w14:paraId="0000002E">
      <w:pPr>
        <w:pStyle w:val="Heading2"/>
        <w:rPr/>
      </w:pPr>
      <w:bookmarkStart w:colFirst="0" w:colLast="0" w:name="_heading=h.4480f6fed77p" w:id="1"/>
      <w:bookmarkEnd w:id="1"/>
      <w:r w:rsidDel="00000000" w:rsidR="00000000" w:rsidRPr="00000000">
        <w:rPr>
          <w:rtl w:val="0"/>
        </w:rPr>
        <w:t xml:space="preserve">Statement of intent</w:t>
      </w:r>
    </w:p>
    <w:tbl>
      <w:tblPr>
        <w:tblStyle w:val="Table3"/>
        <w:tblW w:w="10768.0" w:type="dxa"/>
        <w:jc w:val="left"/>
        <w:tblLayout w:type="fixed"/>
        <w:tblLook w:val="0400"/>
      </w:tblPr>
      <w:tblGrid>
        <w:gridCol w:w="10768"/>
        <w:tblGridChange w:id="0">
          <w:tblGrid>
            <w:gridCol w:w="107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intention is that all pupils within our local community, irrespective of their background or the challenges they face, access school, access enrichment benchmarks, make good progress and achieve high attainment across all subject areas. The focus of our pupil premium strategy is to support all pupils, including those that are disadvantag</w:t>
            </w:r>
            <w:r w:rsidDel="00000000" w:rsidR="00000000" w:rsidRPr="00000000">
              <w:rPr>
                <w:color w:val="000000"/>
                <w:rtl w:val="0"/>
              </w:rPr>
              <w:t xml:space="preserve">ed,those with additional needs t</w:t>
            </w:r>
            <w:r w:rsidDel="00000000" w:rsidR="00000000" w:rsidRPr="00000000">
              <w:rPr>
                <w:rtl w:val="0"/>
              </w:rPr>
              <w:t xml:space="preserve">o achieve that goal, including progress for those who are already high attainers. We will consider the challenges faced by vulnerable pupils, such as those who have a social worker, previously looked after or have an Educational Health Care Plan. The activity we have outlined in this statement is also intended to support their needs, regardless of whether they are disadvantaged or not.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High-quality teaching with warm interactions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approach will be responsive to common challenges and individual needs, rooted in robust diagnostic assessment, not assumptions about the impact of disadvantage. The approaches we have adopted complement each other to help pupils excel. </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objectives are to:</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Remove barriers to learning created by social and economic background. Sustain higher attendance for all pupils, including those with FSM overtime (school is 93.6%, national is 92.3% in 2025-26)</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 attendance for those pupils who have additional needs to be in line with</w:t>
            </w:r>
            <w:r w:rsidDel="00000000" w:rsidR="00000000" w:rsidRPr="00000000">
              <w:rPr>
                <w:color w:val="000000"/>
                <w:rtl w:val="0"/>
              </w:rPr>
              <w:t xml:space="preserve"> peers and national data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pupils are taught the fundamentals early to enable them to have a strong start to EYFS and KS1 - reading fluently and with good understanding to enable them to access the breadth of the curriculum, writing letters and forming sentences, applying mathematical understanding.</w:t>
            </w:r>
          </w:p>
          <w:p w:rsidR="00000000" w:rsidDel="00000000" w:rsidP="00000000" w:rsidRDefault="00000000" w:rsidRPr="00000000" w14:paraId="00000038">
            <w:pPr>
              <w:numPr>
                <w:ilvl w:val="0"/>
                <w:numId w:val="2"/>
              </w:numPr>
              <w:spacing w:after="0" w:lineRule="auto"/>
              <w:ind w:left="720" w:hanging="360"/>
              <w:rPr>
                <w:color w:val="000000"/>
              </w:rPr>
            </w:pPr>
            <w:r w:rsidDel="00000000" w:rsidR="00000000" w:rsidRPr="00000000">
              <w:rPr>
                <w:color w:val="000000"/>
                <w:rtl w:val="0"/>
              </w:rPr>
              <w:t xml:space="preserve">Work with families, early hub and send and community teams at an early stage to enable a strong partnership to support every child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confidence in children's ability to communicate effectively in a wide range of contexts, learn new vocabulary, and build their own social relationships using targeted oracy teaching and support.</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quality interactions, live marking and feedback builds understanding quickly; addressing misconceptions. </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Enable pupils to nurture their social and emotional wellbeing and to develop regulation and resilience.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Access and track a wide range of enrichment opportunities to enhance knowledge and understanding of the world and raise aspirations, particularly for those</w:t>
            </w:r>
            <w:r w:rsidDel="00000000" w:rsidR="00000000" w:rsidRPr="00000000">
              <w:rPr>
                <w:color w:val="000000"/>
                <w:rtl w:val="0"/>
              </w:rPr>
              <w:t xml:space="preserve"> who are vulnerable and face disadvantage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Maintain/sustain overtime outcomes at least in line with national averages (2026 RWM 83% for all pupils, 86% for PP) and increase GDS for FSM pupils. 67% of FSM pupils achieved full marks in MTC, 100% PP passed PSC. Increase FSM pupils reaching GLD (67% in 2026</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color w:val="000000"/>
                <w:rtl w:val="0"/>
              </w:rPr>
              <w:t xml:space="preserve">Sustain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curriculum with planned links to the Enrichment and  Gatsby benchmarks to instil a broad</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opportunities for future education, welling and skills pathways.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Achieving our objectives: </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In order to achieve our objectives and overcome identified barriers to learning we will:</w:t>
            </w:r>
          </w:p>
          <w:p w:rsidR="00000000" w:rsidDel="00000000" w:rsidP="00000000" w:rsidRDefault="00000000" w:rsidRPr="00000000" w14:paraId="00000041">
            <w:pPr>
              <w:rPr/>
            </w:pPr>
            <w:r w:rsidDel="00000000" w:rsidR="00000000" w:rsidRPr="00000000">
              <w:rPr>
                <w:rtl w:val="0"/>
              </w:rPr>
              <w:t xml:space="preserve">•Ensure there is a strong ethos of belonging for every child and family within school and community</w:t>
            </w:r>
          </w:p>
          <w:p w:rsidR="00000000" w:rsidDel="00000000" w:rsidP="00000000" w:rsidRDefault="00000000" w:rsidRPr="00000000" w14:paraId="00000042">
            <w:pPr>
              <w:rPr>
                <w:color w:val="000000"/>
              </w:rPr>
            </w:pPr>
            <w:r w:rsidDel="00000000" w:rsidR="00000000" w:rsidRPr="00000000">
              <w:rPr>
                <w:rtl w:val="0"/>
              </w:rPr>
              <w:t xml:space="preserve"> • Provide all teachers with high quality CPD to ensure that pupils access effective quality first teaching.</w:t>
            </w:r>
            <w:r w:rsidDel="00000000" w:rsidR="00000000" w:rsidRPr="00000000">
              <w:rPr>
                <w:rtl w:val="0"/>
              </w:rPr>
            </w:r>
          </w:p>
          <w:p w:rsidR="00000000" w:rsidDel="00000000" w:rsidP="00000000" w:rsidRDefault="00000000" w:rsidRPr="00000000" w14:paraId="00000043">
            <w:pPr>
              <w:rPr>
                <w:color w:val="000000"/>
              </w:rPr>
            </w:pPr>
            <w:r w:rsidDel="00000000" w:rsidR="00000000" w:rsidRPr="00000000">
              <w:rPr>
                <w:color w:val="000000"/>
                <w:rtl w:val="0"/>
              </w:rPr>
              <w:t xml:space="preserve"> • Provide targeted support to quickly address identified gaps in learning. </w:t>
            </w:r>
          </w:p>
          <w:p w:rsidR="00000000" w:rsidDel="00000000" w:rsidP="00000000" w:rsidRDefault="00000000" w:rsidRPr="00000000" w14:paraId="00000044">
            <w:pPr>
              <w:rPr>
                <w:color w:val="000000"/>
              </w:rPr>
            </w:pPr>
            <w:r w:rsidDel="00000000" w:rsidR="00000000" w:rsidRPr="00000000">
              <w:rPr>
                <w:color w:val="000000"/>
                <w:rtl w:val="0"/>
              </w:rPr>
              <w:t xml:space="preserve">• Target funding to ensure that all pupils, particularly those with disadvantage, FSM and additional needs, have access to quality teaching and are a target for writing support and, trips, residential visits and first-hand learning experiences to enrich their primary school experience</w:t>
            </w:r>
          </w:p>
          <w:p w:rsidR="00000000" w:rsidDel="00000000" w:rsidP="00000000" w:rsidRDefault="00000000" w:rsidRPr="00000000" w14:paraId="00000045">
            <w:pPr>
              <w:rPr>
                <w:color w:val="000000"/>
              </w:rPr>
            </w:pPr>
            <w:r w:rsidDel="00000000" w:rsidR="00000000" w:rsidRPr="00000000">
              <w:rPr>
                <w:rtl w:val="0"/>
              </w:rPr>
              <w:t xml:space="preserve">• Provide opportunities for all pupils to participate in enrichment activities including careers, sport and music </w:t>
            </w:r>
            <w:r w:rsidDel="00000000" w:rsidR="00000000" w:rsidRPr="00000000">
              <w:rPr>
                <w:color w:val="000000"/>
                <w:rtl w:val="0"/>
              </w:rPr>
              <w:t xml:space="preserve">and ensure those facing disadvantage are an increasing proportion of pupils in our pupil leadership groups.</w:t>
            </w:r>
          </w:p>
          <w:p w:rsidR="00000000" w:rsidDel="00000000" w:rsidP="00000000" w:rsidRDefault="00000000" w:rsidRPr="00000000" w14:paraId="00000046">
            <w:pPr>
              <w:rPr>
                <w:i w:val="1"/>
                <w:iCs w:val="1"/>
              </w:rPr>
            </w:pPr>
            <w:r w:rsidDel="00000000" w:rsidR="00000000" w:rsidRPr="00000000">
              <w:rPr>
                <w:rtl w:val="0"/>
              </w:rPr>
              <w:t xml:space="preserve">• Provide nurture to support pupils in their emotional and social development.</w:t>
            </w:r>
            <w:r w:rsidDel="00000000" w:rsidR="00000000" w:rsidRPr="00000000">
              <w:rPr>
                <w:rtl w:val="0"/>
              </w:rPr>
            </w:r>
          </w:p>
        </w:tc>
      </w:tr>
    </w:tbl>
    <w:p w:rsidR="00000000" w:rsidDel="00000000" w:rsidP="00000000" w:rsidRDefault="00000000" w:rsidRPr="00000000" w14:paraId="00000047">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48">
      <w:pPr>
        <w:rPr/>
      </w:pPr>
      <w:r w:rsidDel="00000000" w:rsidR="00000000" w:rsidRPr="00000000">
        <w:rPr>
          <w:rtl w:val="0"/>
        </w:rPr>
        <w:t xml:space="preserve">This details the key challenges to achievement that we have identified among our disadvantaged pupils.</w:t>
      </w:r>
    </w:p>
    <w:tbl>
      <w:tblPr>
        <w:tblStyle w:val="Table4"/>
        <w:tblW w:w="10456.0" w:type="dxa"/>
        <w:jc w:val="left"/>
        <w:tblLayout w:type="fixed"/>
        <w:tblLook w:val="0400"/>
      </w:tblPr>
      <w:tblGrid>
        <w:gridCol w:w="1413"/>
        <w:gridCol w:w="9043"/>
        <w:tblGridChange w:id="0">
          <w:tblGrid>
            <w:gridCol w:w="1413"/>
            <w:gridCol w:w="904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National and internal assessments indicate that attainment in reading and writing among disadvantaged pupils can fall below that of non-disadvantaged pupils</w:t>
            </w:r>
            <w:r w:rsidDel="00000000" w:rsidR="00000000" w:rsidRPr="00000000">
              <w:rPr>
                <w:color w:val="ff0000"/>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Assessments, observation and discussions with pupils indicate that under-developed oral language skills and vocabulary gaps are more prevalent among our disadvantaged pupils than their peers; particularly on entry to the Early Years in speech, language and understanding. This is also having an impact on number, writing and spelling outcomes.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Our school is experiencing a higher prevalence of neuro diversity, dysregulation, social, emotional and mental health related conditions among pupils. This can mean that some pupils may need additional support in order to access the curriculum.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Our disadvantaged pupils do not always have the same experiences as our non-disadvantaged pupils. Therefore, it is important that our school continues to offer a range of enrichment opportunities in order to ensure access, not only to extended provision e.g. drop in but also wider opportunities, which are subsidised.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Some families find it difficult to engage and this can have an impact on the way in which they can support their child’s learning/aspiration, including home reading, attending school events to find out how their child is progressing and workshops.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60" w:before="60" w:line="240" w:lineRule="auto"/>
              <w:rPr>
                <w:sz w:val="22"/>
                <w:szCs w:val="22"/>
              </w:rPr>
            </w:pPr>
            <w:bookmarkStart w:colFirst="0" w:colLast="0" w:name="_heading=h.rayh2y55s2dh" w:id="2"/>
            <w:bookmarkEnd w:id="2"/>
            <w:r w:rsidDel="00000000" w:rsidR="00000000" w:rsidRPr="00000000">
              <w:rPr>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data at Snettisham Primary School over the last three years indicates that attendance among disadvantaged pupils has been lower in some years than for non-disadvantaged pupils. Recently, this is improving, in </w:t>
            </w:r>
            <w:r w:rsidDel="00000000" w:rsidR="00000000" w:rsidRPr="00000000">
              <w:rPr>
                <w:color w:val="000000"/>
                <w:highlight w:val="white"/>
                <w:rtl w:val="0"/>
              </w:rPr>
              <w:t xml:space="preserve">2025-26 FSM attendance is nearly in above average band and that in last two years overall attendance has improved by 3%+ compared to 22/23, 23/24. However,</w:t>
            </w:r>
            <w:r w:rsidDel="00000000" w:rsidR="00000000" w:rsidRPr="00000000">
              <w:rPr>
                <w:color w:val="000000"/>
                <w:rtl w:val="0"/>
              </w:rPr>
              <w:t xml:space="preserve"> a proportion of our disadvantaged pupils, particularly those with additional needs have been persistently absent. Our assessments and observations indicate that absenteeism is negatively impacting disadvantaged pupils’ progress.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r>
          </w:p>
        </w:tc>
      </w:tr>
    </w:tbl>
    <w:p w:rsidR="00000000" w:rsidDel="00000000" w:rsidP="00000000" w:rsidRDefault="00000000" w:rsidRPr="00000000" w14:paraId="00000058">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59">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10456.0" w:type="dxa"/>
        <w:jc w:val="left"/>
        <w:tblLayout w:type="fixed"/>
        <w:tblLook w:val="0400"/>
      </w:tblPr>
      <w:tblGrid>
        <w:gridCol w:w="3397"/>
        <w:gridCol w:w="7059"/>
        <w:tblGridChange w:id="0">
          <w:tblGrid>
            <w:gridCol w:w="3397"/>
            <w:gridCol w:w="70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to achieve national expectations in progress and attainment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Our EYFS provision will support early intervention by design - to maximise progress in the prime and specific areas to ensure a strong start is given to every child,particularly those with lower starting points.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By the end of KS2 pupils will continue to achieve as highly in writing as they have in reading and mathematics, as teachers skillfully adapt provision and enable strong progress in grammar, spelling and punctuation. A specific strategy to </w:t>
            </w:r>
            <w:r w:rsidDel="00000000" w:rsidR="00000000" w:rsidRPr="00000000">
              <w:rPr>
                <w:color w:val="000000"/>
                <w:rtl w:val="0"/>
              </w:rPr>
              <w:t xml:space="preserve">use sentence</w:t>
            </w:r>
            <w:r w:rsidDel="00000000" w:rsidR="00000000" w:rsidRPr="00000000">
              <w:rPr>
                <w:color w:val="000000"/>
                <w:rtl w:val="0"/>
              </w:rPr>
              <w:t xml:space="preserve"> doctor to improve the fundamentals and connect this to well-structured writing lessons.</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KS1/KS2 to continue to achieve EXS/GDS to meet their individual targets, with writing a particular focus. Regular pupil progress reviews and targeted support put in place as required.</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Pupils will maintain and sustain attainment in line with non-disadvantaged pupils/national averages RWM % (EXS/GDS), PSC, MTC and GLD.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Children will have access to small group, in class support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Children to have access to wider opportunities that meet the enrichment benchmarks 2026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take part in enrichment experiences, including trust events.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The percentage of pupils eligible for PP participating in each of the extracurricular clubs will be monitored. </w:t>
            </w:r>
            <w:r w:rsidDel="00000000" w:rsidR="00000000" w:rsidRPr="00000000">
              <w:rPr>
                <w:color w:val="000000"/>
                <w:rtl w:val="0"/>
              </w:rPr>
              <w:t xml:space="preserve">Teachers and  Leaders will take active steps to increase participation where appropriate using the new enrichment tracker document. </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The EYFS/KS1 environment will be enriched to reflect cultural capital and raise expectations. </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have music lessons.</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experience school trips/residential experiences beyond the familiar.</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have accessed extracurricular activities (including breakfast/after school clubs) which enhance the curriculum and support their future journey.</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Children will have careers opportunities; over and above ‘currency’, Raising Aspirations Programme, Apprenticeship Day, application forms for pupil leadership roles.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Improved parental engagement</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Parents/carers will have access to regular workshops led by school such as reading cafes, life skills workshops, apprenticeship day.</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Parents/carers will have support from Family Practitioners, PINS NDS, Norfolk Adult Education, Mental Health Support Team, Family Voice and SEND and Community Team.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Communication via Class Dojo, texting, newsletters, website enhance engagement.</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 will have further engagement in behaviour monitoring and the ‘Snettisham Way’ on Bromcom.</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Every teacher a teacher of SEND through a robust inclusion strategy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High quality teaching, high expectations, adaptations and scaffolds are in place for all SEND pupils to support learning; to give the right support at the right time.</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Leaders and Teachers champion Belonging and Inclusion. Staff understand a graduated response and reflect this in quality learning plans.</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Strong relationships with outside agencies working with children, staff and families are sustained.</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Maximise flexible provision and the environment to offer enhanced provision where there is recognised heightened need.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Improved % attendance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Regular scrutiny of VYED attendance reports with enable ELT to analyse what we do and make changes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Support first meetings will identify help for families to develop resilience and positive attitudes, making an impact on any ESBA present.</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lead will work closely with TSM, NCC and parents to offer support first and improve attendance through early intervention and work to remove barriers.</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of disadvantaged pupils particularly will be closely monitored, particularly those with additional needs. Attendance to be in line with national average and persistent absence is reduced.</w:t>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2"/>
        <w:rPr/>
      </w:pPr>
      <w:r w:rsidDel="00000000" w:rsidR="00000000" w:rsidRPr="00000000">
        <w:rPr>
          <w:rtl w:val="0"/>
        </w:rPr>
        <w:t xml:space="preserve">Activity in this academic year 26-27</w:t>
      </w:r>
    </w:p>
    <w:p w:rsidR="00000000" w:rsidDel="00000000" w:rsidP="00000000" w:rsidRDefault="00000000" w:rsidRPr="00000000" w14:paraId="0000007C">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7D">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7E">
      <w:pPr>
        <w:rPr/>
      </w:pPr>
      <w:r w:rsidDel="00000000" w:rsidR="00000000" w:rsidRPr="00000000">
        <w:rPr>
          <w:rtl w:val="0"/>
        </w:rPr>
        <w:t xml:space="preserve">Budgeted cost: </w:t>
      </w:r>
      <w:r w:rsidDel="00000000" w:rsidR="00000000" w:rsidRPr="00000000">
        <w:rPr>
          <w:color w:val="ff0000"/>
          <w:rtl w:val="0"/>
        </w:rPr>
        <w:t xml:space="preserve">£7,500</w:t>
      </w:r>
      <w:r w:rsidDel="00000000" w:rsidR="00000000" w:rsidRPr="00000000">
        <w:rPr>
          <w:rtl w:val="0"/>
        </w:rPr>
      </w:r>
    </w:p>
    <w:tbl>
      <w:tblPr>
        <w:tblStyle w:val="Table6"/>
        <w:tblW w:w="10470.0" w:type="dxa"/>
        <w:jc w:val="left"/>
        <w:tblLayout w:type="fixed"/>
        <w:tblLook w:val="0400"/>
      </w:tblPr>
      <w:tblGrid>
        <w:gridCol w:w="4200"/>
        <w:gridCol w:w="3600"/>
        <w:gridCol w:w="2670"/>
        <w:tblGridChange w:id="0">
          <w:tblGrid>
            <w:gridCol w:w="4200"/>
            <w:gridCol w:w="3600"/>
            <w:gridCol w:w="26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Senior leaders design the CPD schedule and plan delivery in order to secure improved progress and attainment across the curriculum (with a particular focus on oracy and writing development – composition, grammar, spelling and handwriting). It supports the development of subject knowledge and aids in the recruitment and retention of new and existing staff. Leaders at all levels contribute to these sessions with additional INSET days involving experts from other schools and subject specialists and research from the EEF and Voice 21.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60" w:before="60" w:line="240" w:lineRule="auto"/>
              <w:rPr>
                <w:color w:val="000000"/>
                <w:sz w:val="28"/>
                <w:szCs w:val="28"/>
              </w:rPr>
            </w:pPr>
            <w:r w:rsidDel="00000000" w:rsidR="00000000" w:rsidRPr="00000000">
              <w:rPr>
                <w:color w:val="000000"/>
                <w:rtl w:val="0"/>
              </w:rPr>
              <w:t xml:space="preserve">High-quality CPD for teachers has a significant effect on pupils’ learning outcomes. Evidence suggests that quality CPD has a greater effect on pupil attainment than other interventions schools may consider, such as implementing performance related pay for teachers or lengthening the school day. Education Policy Institute, Evidence Review, 2020. </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https://epi.org.uk/publications-and-research/effects-high-quality-professional-development/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60" w:before="60" w:line="240" w:lineRule="auto"/>
              <w:rPr>
                <w:i w:val="1"/>
                <w:iCs w:val="1"/>
                <w:sz w:val="22"/>
                <w:szCs w:val="22"/>
              </w:rPr>
            </w:pPr>
            <w:r w:rsidDel="00000000" w:rsidR="00000000" w:rsidRPr="00000000">
              <w:rPr>
                <w:rtl w:val="0"/>
              </w:rPr>
              <w:t xml:space="preserve">Snettisham support staff have access to regular training and support in the form of twilights, specific training days (e.g. RWInc), CPD videos and invites to staff meetings. This ensures that intervention compliments the quality first teaching and consistency in teaching and learning across the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Investing in professional development for teaching assistants to deliver structured interventions can be a cost-effective approach to improving learner outcomes due to the large difference in efficacy between different deployments of teaching assistants. (+4 months) Targeted deployment, where teaching assistants are trained to deliver an intervention to small groups or individuals has a higher impact.</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2025 TA Guidance Report</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https://educationendowmentfoundation.org.uk/education-evidence/guidance-reports/teaching-assistants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High-quality, challenging texts pervade the curriculum library and classrooms. Reading passports promoted/showcased routinely and book spine (class texts) shared with staff during CPD session to promote ‘Reading for Pleasure’ with 2026 being the ‘National Year of Reading’ led by the National Literacy Trust. Reading sessions overseen by Reading Ambassador and English Lead at least twice every half term. CPD for Reading Ambassadors provided by English Lead. Impact of new Salford Reading Age Assessments monitored. Reading for Pleasure promoted and new reading records tracked weekly.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Reading for pleasure leads to increased attainment. Clark and DeZoya (2011) found a significant positive relationship between enjoyment and attainment indicating that pupils who read more are also better readers. (DfE – Research Evidence on Reading for Pleasure)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https://www.gov.uk/government/publications/research-evidence-on-reading-for-pleasure https://literacytrust.org.uk/about-us/national-year-of-reading-2026/</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Collaborative learning proven in EEF to raise standards.</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 collaborative approach involves pupils working together in group small enough for everyone to participate on a collective task that has been clearly assigned. https://educationendowmentfoundation.org.uk/education-evidence/teaching-learning-toolkit/peer-tutoring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1,2,4, 5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Staff at Snettisham benefit from oracy, questioning  and vocabulary CPD (with reference to the oracy toolkit and SALT Champions), through INSET and additional CPD sessions, in order to enhance outcomes for pupils across the school in vocabulary, reading, writing and wider curriculum. Voice 21 and EEF used to train all staff.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Teaching and Learning Toolkit – Oral Language Interventions suggests that training can support adults to ensure they model and develop pupils’ oral language skills and vocabulary development. The average impact of oral language interventions is approximately an additional six months progress over the course of a year. https://educationendowmentfoundation.org .uk/education-evidence/teaching-learningtoolkit/oral-language-interventions</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before="60" w:line="240" w:lineRule="auto"/>
              <w:rPr>
                <w:color w:val="000000"/>
              </w:rPr>
            </w:pPr>
            <w:hyperlink r:id="rId7">
              <w:r w:rsidDel="00000000" w:rsidR="00000000" w:rsidRPr="00000000">
                <w:rPr>
                  <w:rFonts w:ascii="Arial" w:cs="Arial" w:eastAsia="Arial" w:hAnsi="Arial"/>
                  <w:color w:val="000000"/>
                  <w:sz w:val="24"/>
                  <w:szCs w:val="24"/>
                  <w:u w:val="none"/>
                  <w:rtl w:val="0"/>
                </w:rPr>
                <w:t xml:space="preserve">https://voice21.org/oracy-across-the-curriculum-the-evidence/</w:t>
              </w:r>
            </w:hyperlink>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https://www.ptsa.uk/wp-content/uploads/2019/09/IMPACT-ARTICLE-SEPTEMBER-2019.pdf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Teachers and support staff will spend lessons prioritising intervention provision, precision teaching, communication aids, and feedback to pupils through widgit, Pecs, live marking and assessment to celebrate success and to respond to misconceptions during the sessions, linking to the Rosenshine principles.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Providing feedback is well-evidenced and has a high impact on learning outcomes. It tends to focus on the task, subject and self-regulation strategies: it provides specific information on how to improve. Impacts are highest when feedback is delivered by teachers. Studies of verbal feedback show slightly higher impacts overall (+7 months). https://educationendowmentfoundation.org.uk/education-evidence/teaching-learning-toolkit/feedback</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https://support-for-early-career-teachers.education.gov.uk/teach-first/year-1-what-makes-classroom-practice-effective/spring-week-3-ect-theory/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Staff will access enhanced CPD to match their career stage such as DFE Excellent EYFS teacher course</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NPQs and Inclusion Strategy Support, including: </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Julian Teaching School HUB</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 Step Lab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EEF Supporting School Attendance - reflection and planning tool. </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EEF </w:t>
            </w:r>
            <w:r w:rsidDel="00000000" w:rsidR="00000000" w:rsidRPr="00000000">
              <w:rPr>
                <w:rFonts w:ascii="Roboto" w:cs="Roboto" w:eastAsia="Roboto" w:hAnsi="Roboto"/>
                <w:color w:val="263238"/>
                <w:sz w:val="23"/>
                <w:szCs w:val="23"/>
                <w:rtl w:val="0"/>
              </w:rPr>
              <w:t xml:space="preserve">Guide to Inclusive Teaching</w:t>
            </w:r>
            <w:r w:rsidDel="00000000" w:rsidR="00000000" w:rsidRPr="00000000">
              <w:rPr>
                <w:rtl w:val="0"/>
              </w:rPr>
              <w:t xml:space="preserve"> </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Teachers in EYFS are vital to a community and for strong foundations for every child </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60" w:before="60" w:line="240" w:lineRule="auto"/>
              <w:rPr>
                <w:color w:val="000000"/>
              </w:rPr>
            </w:pPr>
            <w:hyperlink r:id="rId8">
              <w:r w:rsidDel="00000000" w:rsidR="00000000" w:rsidRPr="00000000">
                <w:rPr>
                  <w:color w:val="1155cc"/>
                  <w:u w:val="single"/>
                  <w:rtl w:val="0"/>
                </w:rPr>
                <w:t xml:space="preserve">https://www.gov.uk/government/publications/giving-every-child-the-best-start-in-life</w:t>
              </w:r>
            </w:hyperlink>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EEF’s suite of guidance reports, to support school leaders in reflecting upon and developing strategies to tackle pupil absence and improve attendance.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60" w:before="60" w:line="240" w:lineRule="auto"/>
              <w:rPr>
                <w:color w:val="000000"/>
              </w:rPr>
            </w:pPr>
            <w:hyperlink r:id="rId9">
              <w:r w:rsidDel="00000000" w:rsidR="00000000" w:rsidRPr="00000000">
                <w:rPr>
                  <w:color w:val="1155cc"/>
                  <w:u w:val="single"/>
                  <w:rtl w:val="0"/>
                </w:rPr>
                <w:t xml:space="preserve">https://educationendowmentfoundation.org.uk/education-evidence/inclusive-teaching#</w:t>
              </w:r>
            </w:hyperlink>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1, 2, 3, 4, 5, 6</w:t>
            </w:r>
            <w:r w:rsidDel="00000000" w:rsidR="00000000" w:rsidRPr="00000000">
              <w:rPr>
                <w:rtl w:val="0"/>
              </w:rPr>
            </w:r>
          </w:p>
        </w:tc>
      </w:tr>
    </w:tbl>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AD">
      <w:pPr>
        <w:rPr>
          <w:color w:val="ff0000"/>
        </w:rPr>
      </w:pPr>
      <w:r w:rsidDel="00000000" w:rsidR="00000000" w:rsidRPr="00000000">
        <w:rPr>
          <w:rtl w:val="0"/>
        </w:rPr>
        <w:t xml:space="preserve">Budgeted cost: </w:t>
      </w:r>
      <w:r w:rsidDel="00000000" w:rsidR="00000000" w:rsidRPr="00000000">
        <w:rPr>
          <w:color w:val="ff0000"/>
          <w:rtl w:val="0"/>
        </w:rPr>
        <w:t xml:space="preserve">£9,500</w:t>
      </w:r>
    </w:p>
    <w:tbl>
      <w:tblPr>
        <w:tblStyle w:val="Table7"/>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Snettisham Primary School will further develop its speaking/reading/phonic strategy with ongoing support from RWInc specialist and The Wensum Hub (post our graduation in 2026) to ensure all children can learn to read and read to learn. This will ensure that no child is left behind, including the lowest 20%, sustaining achievement for all (100% 2025-26 PSC pass). Teachers and TAs receive training and coaching to follow a structured programme and precision teach to pupil gaps through EYFS-KS2 on a daily basis: Read Write Inc Phonics (EYFS-LKS2) and Read Write Inc Fresh Start (UKS2). Parents will be provided with information, training and support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Phonics has a positive impact overall (+5 months) with very extensive evidence and is an important component in the development of early reading skills, particularly for children from disadvantaged backgrounds. If an older reader is struggling with decoding, phonics approaches will still be appropriate. https://educationendowmentfoundation.org.uk/education-evidence/teaching-learning-toolkit/phonics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Pupils at Snettisham Primary School will benefit from small group, school led tuition. Precision teaching to fill  pupil gaps and pre-teaching to support inclusion, build confidence and support cognitive development. This includes outside agencies such as ‘Colourful Semantics.’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On average, one to one tuition is very effective at improving pupil outcomes. One to one tuition might be an effective strategy for providing targeted support for pupils that are identified as having low prior attainment or are struggling in particular areas. Research which focuses on teaching assistants who provide one to one or small group targeted interventions shows a stronger positive benefit of between four and six additional months on average. In some cases, one to one tuition has led to greater improvement, while in others tuition in groups of two or three has been equally or even more effective. https://educationendowmentfoundation.org .uk/education-evidence/teaching-learningtoolkit/teaching-assistant-interventions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All pupils to benefit from support in learning multiplication tables. Use of precision teaching, promoting across year groups and use of Times Table Rockstars, Rockstar Day and multiplication resources to promote and track progress, particularly in years 2-4.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Repeated systematic practice of times tables is effective and this declarative knowledge serves as a building block for procedural knowledge. This process is the key to making the retrieval of basic times tables facts fluent for pupil. (Hasselbring, Lott &amp; Zydney, 2005)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60" w:before="60" w:line="240" w:lineRule="auto"/>
              <w:rPr>
                <w:color w:val="000000"/>
              </w:rPr>
            </w:pPr>
            <w:hyperlink r:id="rId10">
              <w:r w:rsidDel="00000000" w:rsidR="00000000" w:rsidRPr="00000000">
                <w:rPr>
                  <w:rFonts w:ascii="Arial" w:cs="Arial" w:eastAsia="Arial" w:hAnsi="Arial"/>
                  <w:color w:val="000000"/>
                  <w:sz w:val="24"/>
                  <w:szCs w:val="24"/>
                  <w:u w:val="none"/>
                  <w:rtl w:val="0"/>
                </w:rPr>
                <w:t xml:space="preserve">https://www.cambridgemaths.org/Images/espresso_1_learning_and_assessing_times_tables.pdf</w:t>
              </w:r>
            </w:hyperlink>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Learning, using and applying multiplication facts: https://my.chartered.college/impact_article/learning-using-and-applying-multiplication-facts-insights-from-research/</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Booster clubs/ sessions primarily for disadvantaged pupils in Reading, Writing, GPS and Maths before and after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suggests that before and after school programmes with a clear structure, a strong link to the curriculum, and well-qualified and well-trained staff are more clearly linked to academic benefits than any other types of extended provision. Impact +3 months. https://educationendowmentfoundation.org.uk/education-evidence/teaching-learning-toolkit/extending-school-time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Utilise teaching assistants to develop targeted writing intervention and support in class (composition, grammar and spelling) working with the guidance and support of the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average impact of the deployment of teaching assistants is about an additional four months’ progress over the course of a year. https://educationendowmentfoundation.or g.uk/education-evidence/guidancereports/teaching-assistants </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John Hattie’s Visible Learning – high effect size in relation to response to intervention. https://visible-learning.org/hattie-ranking-influences-effect-sizes-learning-achievement/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60" w:before="60" w:line="240" w:lineRule="auto"/>
              <w:rPr>
                <w:color w:val="000000"/>
              </w:rPr>
            </w:pPr>
            <w:bookmarkStart w:colFirst="0" w:colLast="0" w:name="_heading=h.yy0yqkgu3irb" w:id="3"/>
            <w:bookmarkEnd w:id="3"/>
            <w:r w:rsidDel="00000000" w:rsidR="00000000" w:rsidRPr="00000000">
              <w:rPr>
                <w:color w:val="000000"/>
                <w:rtl w:val="0"/>
              </w:rPr>
              <w:t xml:space="preserve">Use Wellcomm baseline data to implement Wellcomm speech and language intervention  to improve oral language skills and expressive vocabulary in addition to speech and language support from outside agencies.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Research shows that speech and language have a massive impact on daily life, shaping education, mental health, and social success. When people face communication challenges, it can lead to lifelong struggles with learning, jobs, and building friendships. Children with speech or language difficulties are up to 11 times more likely to fall behind in core school subjects. Studies from organisations like Speech and Language UK show that children with poor communication skills make up nearly half of all youth mental health referrals.</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https://educationendowmentfoundation.org.uk/projects-and-evaluation/research-agenda-themes-priority-areas/research-agenda-theme-early-language</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60" w:before="60" w:line="240" w:lineRule="auto"/>
              <w:rPr>
                <w:color w:val="000000"/>
              </w:rPr>
            </w:pPr>
            <w:hyperlink r:id="rId11">
              <w:r w:rsidDel="00000000" w:rsidR="00000000" w:rsidRPr="00000000">
                <w:rPr>
                  <w:rFonts w:ascii="Arial" w:cs="Arial" w:eastAsia="Arial" w:hAnsi="Arial"/>
                  <w:color w:val="000000"/>
                  <w:sz w:val="24"/>
                  <w:szCs w:val="24"/>
                  <w:u w:val="none"/>
                  <w:rtl w:val="0"/>
                </w:rPr>
                <w:t xml:space="preserve">https://educationendowmentfoundation.org.uk/measures-database/wellcomm-the-complete-speech-language-tool-kit</w:t>
              </w:r>
            </w:hyperlink>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https://viridis-schools.co.uk/wp-content/uploads/2019/03/What-is-the-impact-of-Wellcomm-a-speech-and-language-intervention-on-language-development-in-the-Early-Years.pdf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60" w:before="60" w:line="240" w:lineRule="auto"/>
              <w:rPr>
                <w:color w:val="ff0000"/>
                <w:sz w:val="22"/>
                <w:szCs w:val="22"/>
              </w:rPr>
            </w:pPr>
            <w:r w:rsidDel="00000000" w:rsidR="00000000" w:rsidRPr="00000000">
              <w:rPr>
                <w:color w:val="ff0000"/>
                <w:sz w:val="22"/>
                <w:szCs w:val="22"/>
                <w:rtl w:val="0"/>
              </w:rPr>
              <w:t xml:space="preserve">2, 3</w:t>
            </w:r>
          </w:p>
        </w:tc>
      </w:tr>
    </w:tbl>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CB">
      <w:pPr>
        <w:spacing w:after="120" w:before="240" w:lineRule="auto"/>
        <w:rPr/>
      </w:pPr>
      <w:r w:rsidDel="00000000" w:rsidR="00000000" w:rsidRPr="00000000">
        <w:rPr>
          <w:rtl w:val="0"/>
        </w:rPr>
        <w:t xml:space="preserve">Budgeted cost: </w:t>
      </w:r>
      <w:r w:rsidDel="00000000" w:rsidR="00000000" w:rsidRPr="00000000">
        <w:rPr>
          <w:color w:val="ff0000"/>
          <w:rtl w:val="0"/>
        </w:rPr>
        <w:t xml:space="preserve">£6,250</w:t>
      </w:r>
      <w:r w:rsidDel="00000000" w:rsidR="00000000" w:rsidRPr="00000000">
        <w:rPr>
          <w:rtl w:val="0"/>
        </w:rPr>
      </w:r>
    </w:p>
    <w:tbl>
      <w:tblPr>
        <w:tblStyle w:val="Table8"/>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F">
            <w:pPr>
              <w:spacing w:after="60" w:before="60" w:line="240" w:lineRule="auto"/>
              <w:rPr>
                <w:color w:val="000000"/>
              </w:rPr>
            </w:pPr>
            <w:r w:rsidDel="00000000" w:rsidR="00000000" w:rsidRPr="00000000">
              <w:rPr>
                <w:color w:val="000000"/>
                <w:rtl w:val="0"/>
              </w:rPr>
              <w:t xml:space="preserve">Embed the enrichment benchmarks using our defined strategy to track core opportunities for each child and promote equity across the school community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0">
            <w:pPr>
              <w:spacing w:after="60" w:before="60" w:line="240" w:lineRule="auto"/>
              <w:rPr>
                <w:color w:val="000000"/>
              </w:rPr>
            </w:pPr>
            <w:r w:rsidDel="00000000" w:rsidR="00000000" w:rsidRPr="00000000">
              <w:rPr>
                <w:color w:val="000000"/>
                <w:rtl w:val="0"/>
              </w:rPr>
              <w:t xml:space="preserve">Ensuring that every child can experience breath of knowledge and skills through additional opportunities is DFE objective</w:t>
            </w:r>
          </w:p>
          <w:p w:rsidR="00000000" w:rsidDel="00000000" w:rsidP="00000000" w:rsidRDefault="00000000" w:rsidRPr="00000000" w14:paraId="000000D1">
            <w:pPr>
              <w:spacing w:after="60" w:before="60" w:line="240" w:lineRule="auto"/>
              <w:rPr>
                <w:color w:val="000000"/>
              </w:rPr>
            </w:pPr>
            <w:r w:rsidDel="00000000" w:rsidR="00000000" w:rsidRPr="00000000">
              <w:rPr>
                <w:color w:val="000000"/>
                <w:rtl w:val="0"/>
              </w:rPr>
              <w:t xml:space="preserve">Ensuring all children are identified as potentially NEET to overcome barriers </w:t>
            </w:r>
          </w:p>
          <w:p w:rsidR="00000000" w:rsidDel="00000000" w:rsidP="00000000" w:rsidRDefault="00000000" w:rsidRPr="00000000" w14:paraId="000000D2">
            <w:pPr>
              <w:spacing w:after="60" w:before="60" w:line="240" w:lineRule="auto"/>
              <w:rPr>
                <w:color w:val="000000"/>
              </w:rPr>
            </w:pPr>
            <w:r w:rsidDel="00000000" w:rsidR="00000000" w:rsidRPr="00000000">
              <w:rPr>
                <w:color w:val="000000"/>
                <w:rtl w:val="0"/>
              </w:rPr>
              <w:t xml:space="preserve">https://www.gov.uk/government/publications/the-enrichment-framework-for-schools-and-colleges/enrichment-benchmarks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3">
            <w:pPr>
              <w:spacing w:after="60" w:before="60" w:line="240" w:lineRule="auto"/>
              <w:rPr>
                <w:color w:val="000000"/>
                <w:sz w:val="22"/>
                <w:szCs w:val="22"/>
              </w:rPr>
            </w:pPr>
            <w:r w:rsidDel="00000000" w:rsidR="00000000" w:rsidRPr="00000000">
              <w:rPr>
                <w:color w:val="000000"/>
                <w:sz w:val="22"/>
                <w:szCs w:val="22"/>
                <w:rtl w:val="0"/>
              </w:rPr>
              <w:t xml:space="preserve">4,5 </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4">
            <w:pPr>
              <w:spacing w:after="60" w:before="60" w:line="240" w:lineRule="auto"/>
              <w:rPr>
                <w:color w:val="000000"/>
              </w:rPr>
            </w:pPr>
            <w:r w:rsidDel="00000000" w:rsidR="00000000" w:rsidRPr="00000000">
              <w:rPr>
                <w:color w:val="000000"/>
                <w:rtl w:val="0"/>
              </w:rPr>
              <w:t xml:space="preserve">Further enhance our behaviour curriculum and the ‘Snettisham Way’ by maintaining warm relationships with firm boundaries and logging on Bromcom system. Effectively promote parental engagement with this system to celebrate pupils at our school; raising sense of belonging, aspirations and attendance.</w:t>
            </w:r>
          </w:p>
          <w:p w:rsidR="00000000" w:rsidDel="00000000" w:rsidP="00000000" w:rsidRDefault="00000000" w:rsidRPr="00000000" w14:paraId="000000D5">
            <w:pPr>
              <w:spacing w:after="60" w:before="60" w:line="240" w:lineRule="auto"/>
              <w:rPr>
                <w:color w:val="000000"/>
              </w:rPr>
            </w:pPr>
            <w:r w:rsidDel="00000000" w:rsidR="00000000" w:rsidRPr="00000000">
              <w:rPr>
                <w:rtl w:val="0"/>
              </w:rPr>
            </w:r>
          </w:p>
          <w:p w:rsidR="00000000" w:rsidDel="00000000" w:rsidP="00000000" w:rsidRDefault="00000000" w:rsidRPr="00000000" w14:paraId="000000D6">
            <w:pPr>
              <w:spacing w:after="60" w:before="60" w:line="240" w:lineRule="auto"/>
              <w:rPr>
                <w:color w:val="000000"/>
              </w:rPr>
            </w:pPr>
            <w:r w:rsidDel="00000000" w:rsidR="00000000" w:rsidRPr="00000000">
              <w:rPr>
                <w:rtl w:val="0"/>
              </w:rPr>
            </w:r>
          </w:p>
          <w:p w:rsidR="00000000" w:rsidDel="00000000" w:rsidP="00000000" w:rsidRDefault="00000000" w:rsidRPr="00000000" w14:paraId="000000D7">
            <w:pPr>
              <w:spacing w:after="60" w:before="60" w:line="240" w:lineRule="auto"/>
              <w:rPr>
                <w:color w:val="000000"/>
              </w:rPr>
            </w:pPr>
            <w:r w:rsidDel="00000000" w:rsidR="00000000" w:rsidRPr="00000000">
              <w:rPr>
                <w:rtl w:val="0"/>
              </w:rPr>
            </w:r>
          </w:p>
          <w:p w:rsidR="00000000" w:rsidDel="00000000" w:rsidP="00000000" w:rsidRDefault="00000000" w:rsidRPr="00000000" w14:paraId="000000D8">
            <w:pPr>
              <w:spacing w:after="60" w:before="60" w:line="240" w:lineRule="auto"/>
              <w:rPr>
                <w:color w:val="000000"/>
              </w:rPr>
            </w:pPr>
            <w:r w:rsidDel="00000000" w:rsidR="00000000" w:rsidRPr="00000000">
              <w:rPr>
                <w:rtl w:val="0"/>
              </w:rPr>
            </w:r>
          </w:p>
          <w:p w:rsidR="00000000" w:rsidDel="00000000" w:rsidP="00000000" w:rsidRDefault="00000000" w:rsidRPr="00000000" w14:paraId="000000D9">
            <w:pPr>
              <w:spacing w:after="60" w:before="60" w:line="240" w:lineRule="auto"/>
              <w:rPr>
                <w:color w:val="000000"/>
              </w:rPr>
            </w:pPr>
            <w:r w:rsidDel="00000000" w:rsidR="00000000" w:rsidRPr="00000000">
              <w:rPr>
                <w:rtl w:val="0"/>
              </w:rPr>
            </w:r>
          </w:p>
          <w:p w:rsidR="00000000" w:rsidDel="00000000" w:rsidP="00000000" w:rsidRDefault="00000000" w:rsidRPr="00000000" w14:paraId="000000DA">
            <w:pPr>
              <w:spacing w:after="60" w:before="60" w:line="24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B">
            <w:pPr>
              <w:spacing w:after="60" w:before="60" w:line="240" w:lineRule="auto"/>
              <w:rPr>
                <w:color w:val="000000"/>
              </w:rPr>
            </w:pPr>
            <w:r w:rsidDel="00000000" w:rsidR="00000000" w:rsidRPr="00000000">
              <w:rPr>
                <w:color w:val="000000"/>
                <w:rtl w:val="0"/>
              </w:rPr>
              <w:t xml:space="preserve">The Education Endowment Foundation (EEF) highlights a strong, direct link between pupil behaviour, attendance, and academic attainment. Proactive, supportive school cultures that focus on belonging, positive relationships, and addressing root causes rather than just surface symptoms are proven to be the most effective ways to improve both attendance and behaviour outcomes.</w:t>
            </w:r>
          </w:p>
          <w:p w:rsidR="00000000" w:rsidDel="00000000" w:rsidP="00000000" w:rsidRDefault="00000000" w:rsidRPr="00000000" w14:paraId="000000DC">
            <w:pPr>
              <w:spacing w:after="60" w:before="60" w:line="240" w:lineRule="auto"/>
              <w:rPr>
                <w:color w:val="000000"/>
              </w:rPr>
            </w:pPr>
            <w:r w:rsidDel="00000000" w:rsidR="00000000" w:rsidRPr="00000000">
              <w:rPr>
                <w:color w:val="000000"/>
                <w:rtl w:val="0"/>
              </w:rPr>
              <w:t xml:space="preserve">https://educationendowmentfoundation.org.uk/education-evidence/leadership-and-planning/supporting-attendance/build-a-culture-of-community-and-belonging-for-pupils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D">
            <w:pPr>
              <w:spacing w:after="60" w:before="60" w:line="240" w:lineRule="auto"/>
              <w:rPr>
                <w:color w:val="000000"/>
                <w:sz w:val="22"/>
                <w:szCs w:val="22"/>
              </w:rPr>
            </w:pPr>
            <w:r w:rsidDel="00000000" w:rsidR="00000000" w:rsidRPr="00000000">
              <w:rPr>
                <w:color w:val="000000"/>
                <w:sz w:val="22"/>
                <w:szCs w:val="22"/>
                <w:rtl w:val="0"/>
              </w:rPr>
              <w:t xml:space="preserve">5, 6</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Further enhance social and emotional provision through our pastoral and attendance practitioner who is ELSA trained. Continue to fully utilise creative and outdoor provision to support increased confidence, mental health for targeted pupils so they are ready to learn in the classroom.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Social and emotional learning approaches have a positive impact, on average, of 4 months’ additional progress in academic outcomes over the course of an academic year. </w:t>
            </w:r>
            <w:r w:rsidDel="00000000" w:rsidR="00000000" w:rsidRPr="00000000">
              <w:rPr>
                <w:color w:val="000000"/>
                <w:rtl w:val="0"/>
              </w:rPr>
              <w:t xml:space="preserve">https://educationendowmentfoundation.org.uk/education-evidence/teaching-learning-toolkit/social-and-emotional-learning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3, 4, 6</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Sustain support from NHS MHT via targeted pupil work with identified pupils and parents, assemblies and transition support as pupils move pinto next stage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Mental Health Support Teams (MHSTs)</w:t>
            </w:r>
            <w:r w:rsidDel="00000000" w:rsidR="00000000" w:rsidRPr="00000000">
              <w:rPr>
                <w:rtl w:val="0"/>
              </w:rPr>
              <w:t xml:space="preserve">—also commonly referred to as mental health teams (MHTs) in education—have a statistically significant, positive impact on the wellbeing, attendance, and culture of school environments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https://www.gov.uk/government/news/record-numbers-of-children-with-mental-health-support-in-schools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5">
            <w:pPr>
              <w:spacing w:after="60" w:before="60" w:line="240" w:lineRule="auto"/>
              <w:rPr>
                <w:sz w:val="22"/>
                <w:szCs w:val="22"/>
              </w:rPr>
            </w:pPr>
            <w:r w:rsidDel="00000000" w:rsidR="00000000" w:rsidRPr="00000000">
              <w:rPr>
                <w:sz w:val="22"/>
                <w:szCs w:val="22"/>
                <w:rtl w:val="0"/>
              </w:rPr>
              <w:t xml:space="preserve">3, 4, 6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Maintain good links with agencies to support families and pupils, including: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Community and Partnership Team, Early Help and the SEMH Team, NCC SEND and Inclusion Team and specialist resource bases, Play Therapy, Mind and Mood sessions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research suggests that interventions which focus on improving social interaction tend to be more successful (+6 months) than those focusing on personal and academic outcomes (+4 months) or those aimed at preventing problematic behaviour (+5 months).</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https://educationendowmentfoundation.org.uk/news/modelling-social-and-emotional-learning-promoting-protective-factors-to-support-pupil-wellbeing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60" w:before="60" w:line="240" w:lineRule="auto"/>
              <w:rPr>
                <w:i w:val="1"/>
                <w:iCs w:val="1"/>
              </w:rPr>
            </w:pPr>
            <w:r w:rsidDel="00000000" w:rsidR="00000000" w:rsidRPr="00000000">
              <w:rPr>
                <w:rtl w:val="0"/>
              </w:rPr>
              <w:t xml:space="preserve">At Snettisham we will build on our curriculum with additional strategies to broaden pupil access to careers via Gatsby benchmarks, culture and diversity, raising aspirations and developing economic awareness in line with non-disadvantaged pupils. This ensures that enrichment is maximised. Drop in/breakfast club, Music Tuition Trips/Visits, Arts participation, Extracurricular clubs, Boosters, Sports events, Apprenticeship Day, Brilliant Club/ Scholars Programme, Sports Coaches, Life Skills, public speaking and Trust events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Physical activity has important benefits in terms of health, wellbeing and physical development. There is some evidence that involvement in extra-curricular sporting activities may increase pupil attendance and retention (+3 months). https://educationendowmentfoundation.org.uk/ education-evidence/teaching-learningtoolkit/extending-school-time Arts participation is defined as involvement in artistic and creative activities, such as dance, drama, music, painting, or sculpture. It can occur either as part of the curriculum or as extra-curricular activity. Arts participation can have a positive impact on academic outcomes in other areas of the curriculum. (+3 months). </w:t>
            </w:r>
            <w:r w:rsidDel="00000000" w:rsidR="00000000" w:rsidRPr="00000000">
              <w:rPr>
                <w:color w:val="000000"/>
                <w:rtl w:val="0"/>
              </w:rPr>
              <w:t xml:space="preserve">https://educationendowmentfoundation.org.uk/education-evidence/teaching-learning-toolkit/arts-participation</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Ensure support is available for families in crisis. School led EHAP, Early Help Referral Help Hub ECFS Signposting, e.g. Just One Number Parenting programmes, e.g. Triple P, Solihull, Freedom Programme and Circle of Security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Parental engagement has a positive impact on average +4 months additional progress. It is crucial to consider how to engage with all parents to avoid widening attainment gaps. </w:t>
            </w:r>
            <w:r w:rsidDel="00000000" w:rsidR="00000000" w:rsidRPr="00000000">
              <w:rPr>
                <w:color w:val="000000"/>
                <w:rtl w:val="0"/>
              </w:rPr>
              <w:t xml:space="preserve">https://educationendowmentfoundation.org.uk/education-evidence/teaching-learning-toolkit/parental-engagement Triple P can lead to improvements in chi</w:t>
            </w:r>
            <w:r w:rsidDel="00000000" w:rsidR="00000000" w:rsidRPr="00000000">
              <w:rPr>
                <w:rtl w:val="0"/>
              </w:rPr>
              <w:t xml:space="preserve">ldren’s behaviour. It is believed that strategies within the programme could lead to improvements in children’s language development. https://educationendowmentfoundation.org.uk/projects-and-evaluation/projects/level-4-group-triple-p-positive-parenting-program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Continued targeted provision/early intervention in place for vulnerable pupils to support with mental health and wellbeing. This fosters relationships and ensures that pupils are ready to learn. Promoting</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Nurture Space/ELSA</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Mental Health MHST</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Domestic Abuse Champion </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Anna Freud Wellbeing </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Jigsaw PSHCE Curriculum supplemented with No Outsiders, Pol Ed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7">
            <w:pPr>
              <w:spacing w:after="60" w:before="60" w:line="240" w:lineRule="auto"/>
              <w:rPr>
                <w:color w:val="000000"/>
              </w:rPr>
            </w:pPr>
            <w:r w:rsidDel="00000000" w:rsidR="00000000" w:rsidRPr="00000000">
              <w:rPr>
                <w:color w:val="000000"/>
                <w:rtl w:val="0"/>
              </w:rPr>
              <w:t xml:space="preserve"> EEF suggests that effective social and emotional learning (SEL) can increase positive pupil behaviour, mental health and well-being, and academic performance. https://educationendowmentfoundation.org.uk/news/prioritise-social-and-emotional-learning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Effectively promote parental engagement in learning via regular workshops in school, and develop further through Class Dojo, Twitter, newsletters and the school website. Promote Learning with Parents. </w:t>
            </w:r>
            <w:r w:rsidDel="00000000" w:rsidR="00000000" w:rsidRPr="00000000">
              <w:rPr>
                <w:color w:val="000000"/>
                <w:rtl w:val="0"/>
              </w:rPr>
              <w:t xml:space="preserve">Parents invited to events such as World Book Day, Cafes, Apprenticeship Day, Life Skills and attendance is tracked on Bromcom.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Parental engagement has a positive impact on average +4 months additional progress. It is crucial to consider how to engage with all parents to avoid widening attainment gaps. https://educationendowmentfoundation.org.uk/education-evidence/teaching-learning-toolkit/parental-engagement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monitoring of attendance will follow the EEFs 6 evidence based themes as outlined in the evidence based research. Pastoral and Attendance Lead supported by SLT. Early Intervention will be put in place as required in line with NCC guidance. Pupils play an active role in attendance; ‘Attendance Armadillo’ and JLT developing HERO approach with ELT.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EEF suggest that improving attendance requires different approaches in different contexts. They state that there are, however, some common overarching principles that can inform attendance strategies. (6 evidence based strategies). 1.Build a holistic understanding of pupils and families, and diagnose specific needs.2.Build a culture of community and belonging for pupils3.Communicate effectively with families4.Improve universal provision for all pupils5.Deliver targeted interventions to supplement universal provision6.Monitor the impact of approaches https://educationendowmentfoundation.org.uk/news/eef-blog-supporting-school-attendance-a-new-tool-for-reflection-and-planning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1, 5, 6</w:t>
            </w:r>
          </w:p>
        </w:tc>
      </w:tr>
    </w:tbl>
    <w:p w:rsidR="00000000" w:rsidDel="00000000" w:rsidP="00000000" w:rsidRDefault="00000000" w:rsidRPr="00000000" w14:paraId="000000FF">
      <w:pPr>
        <w:pStyle w:val="Heading1"/>
        <w:rPr>
          <w:sz w:val="32"/>
          <w:szCs w:val="32"/>
        </w:rPr>
      </w:pPr>
      <w:bookmarkStart w:colFirst="0" w:colLast="0" w:name="_heading=h.umx6h8y8ete" w:id="4"/>
      <w:bookmarkEnd w:id="4"/>
      <w:r w:rsidDel="00000000" w:rsidR="00000000" w:rsidRPr="00000000">
        <w:rPr>
          <w:rtl w:val="0"/>
        </w:rPr>
        <w:t xml:space="preserve">Pupil Premium Strategy Snettisham Primary 2025-26                  </w:t>
      </w:r>
      <w:r w:rsidDel="00000000" w:rsidR="00000000" w:rsidRPr="00000000">
        <w:rPr>
          <w:sz w:val="32"/>
          <w:szCs w:val="32"/>
          <w:rtl w:val="0"/>
        </w:rPr>
        <w:t xml:space="preserve">Review of outcomes </w:t>
      </w:r>
    </w:p>
    <w:p w:rsidR="00000000" w:rsidDel="00000000" w:rsidP="00000000" w:rsidRDefault="00000000" w:rsidRPr="00000000" w14:paraId="00000100">
      <w:pPr>
        <w:rPr>
          <w:color w:val="ff0000"/>
        </w:rPr>
      </w:pPr>
      <w:r w:rsidDel="00000000" w:rsidR="00000000" w:rsidRPr="00000000">
        <w:rPr>
          <w:rtl w:val="0"/>
        </w:rPr>
        <w:t xml:space="preserve">This details the impact that our pupil premium activity had on pupils in the 2025 to 2026 academic year. </w:t>
      </w:r>
      <w:r w:rsidDel="00000000" w:rsidR="00000000" w:rsidRPr="00000000">
        <w:rPr>
          <w:rtl w:val="0"/>
        </w:rPr>
      </w:r>
    </w:p>
    <w:tbl>
      <w:tblPr>
        <w:tblStyle w:val="Table9"/>
        <w:tblW w:w="9776.0" w:type="dxa"/>
        <w:jc w:val="left"/>
        <w:tblLayout w:type="fixed"/>
        <w:tblLook w:val="0400"/>
      </w:tblPr>
      <w:tblGrid>
        <w:gridCol w:w="9776"/>
        <w:tblGridChange w:id="0">
          <w:tblGrid>
            <w:gridCol w:w="9776"/>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101">
            <w:pPr>
              <w:widowControl w:val="0"/>
              <w:tabs>
                <w:tab w:val="left" w:leader="none" w:pos="0"/>
              </w:tabs>
              <w:spacing w:after="0" w:line="240" w:lineRule="auto"/>
              <w:rPr>
                <w:color w:val="000000"/>
              </w:rPr>
            </w:pPr>
            <w:r w:rsidDel="00000000" w:rsidR="00000000" w:rsidRPr="00000000">
              <w:rPr>
                <w:b w:val="1"/>
                <w:bCs w:val="1"/>
                <w:rtl w:val="0"/>
              </w:rPr>
              <w:t xml:space="preserve">Children to achieve national expectations in progress and attainment - </w:t>
            </w:r>
            <w:r w:rsidDel="00000000" w:rsidR="00000000" w:rsidRPr="00000000">
              <w:rPr>
                <w:rtl w:val="0"/>
              </w:rPr>
              <w:t xml:space="preserve">Attainment</w:t>
            </w:r>
            <w:r w:rsidDel="00000000" w:rsidR="00000000" w:rsidRPr="00000000">
              <w:rPr>
                <w:color w:val="000000"/>
                <w:rtl w:val="0"/>
              </w:rPr>
              <w:t xml:space="preserve"> for 12 pupils in Y6 (all pupils) was above the national average; 83% attained EXS in RWM. The national average for 2026, 63%. GDS combined attainment in this cohort was 25%.</w:t>
            </w:r>
          </w:p>
          <w:p w:rsidR="00000000" w:rsidDel="00000000" w:rsidP="00000000" w:rsidRDefault="00000000" w:rsidRPr="00000000" w14:paraId="00000102">
            <w:pPr>
              <w:widowControl w:val="0"/>
              <w:tabs>
                <w:tab w:val="left" w:leader="none" w:pos="0"/>
              </w:tabs>
              <w:spacing w:after="0" w:line="240" w:lineRule="auto"/>
              <w:rPr>
                <w:color w:val="000000"/>
              </w:rPr>
            </w:pPr>
            <w:r w:rsidDel="00000000" w:rsidR="00000000" w:rsidRPr="00000000">
              <w:rPr>
                <w:color w:val="000000"/>
                <w:rtl w:val="0"/>
              </w:rPr>
              <w:t xml:space="preserve">Outcomes for disadvantaged pupils was 86% at EXS and 14% GDS.</w:t>
            </w:r>
          </w:p>
          <w:p w:rsidR="00000000" w:rsidDel="00000000" w:rsidP="00000000" w:rsidRDefault="00000000" w:rsidRPr="00000000" w14:paraId="00000103">
            <w:pPr>
              <w:widowControl w:val="0"/>
              <w:tabs>
                <w:tab w:val="left" w:leader="none" w:pos="0"/>
              </w:tabs>
              <w:spacing w:after="0" w:line="240" w:lineRule="auto"/>
              <w:rPr>
                <w:color w:val="000000"/>
              </w:rPr>
            </w:pPr>
            <w:r w:rsidDel="00000000" w:rsidR="00000000" w:rsidRPr="00000000">
              <w:rPr>
                <w:color w:val="000000"/>
                <w:rtl w:val="0"/>
              </w:rPr>
              <w:t xml:space="preserve">This cohort included 58% pupil premium (7/12), 17% SEND (2/12). </w:t>
            </w:r>
          </w:p>
          <w:p w:rsidR="00000000" w:rsidDel="00000000" w:rsidP="00000000" w:rsidRDefault="00000000" w:rsidRPr="00000000" w14:paraId="00000104">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105">
            <w:pPr>
              <w:widowControl w:val="0"/>
              <w:tabs>
                <w:tab w:val="left" w:leader="none" w:pos="0"/>
              </w:tabs>
              <w:spacing w:after="0" w:line="240" w:lineRule="auto"/>
              <w:rPr>
                <w:color w:val="000000"/>
              </w:rPr>
            </w:pPr>
            <w:r w:rsidDel="00000000" w:rsidR="00000000" w:rsidRPr="00000000">
              <w:rPr>
                <w:color w:val="000000"/>
                <w:rtl w:val="0"/>
              </w:rPr>
              <w:t xml:space="preserve">The schools 3 year average for disadvantaged pupils achieving RWM is 60%, national is 46%.</w:t>
            </w:r>
          </w:p>
          <w:p w:rsidR="00000000" w:rsidDel="00000000" w:rsidP="00000000" w:rsidRDefault="00000000" w:rsidRPr="00000000" w14:paraId="00000106">
            <w:pPr>
              <w:widowControl w:val="0"/>
              <w:tabs>
                <w:tab w:val="left" w:leader="none" w:pos="0"/>
              </w:tabs>
              <w:spacing w:after="0" w:line="240" w:lineRule="auto"/>
              <w:rPr>
                <w:color w:val="ff0000"/>
              </w:rPr>
            </w:pPr>
            <w:r w:rsidDel="00000000" w:rsidR="00000000" w:rsidRPr="00000000">
              <w:rPr>
                <w:rtl w:val="0"/>
              </w:rPr>
            </w:r>
          </w:p>
          <w:tbl>
            <w:tblPr>
              <w:tblStyle w:val="Table10"/>
              <w:tblW w:w="88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5"/>
              <w:gridCol w:w="1842"/>
              <w:gridCol w:w="1843"/>
              <w:gridCol w:w="1843"/>
              <w:gridCol w:w="1843"/>
              <w:tblGridChange w:id="0">
                <w:tblGrid>
                  <w:gridCol w:w="1435"/>
                  <w:gridCol w:w="1842"/>
                  <w:gridCol w:w="1843"/>
                  <w:gridCol w:w="1843"/>
                  <w:gridCol w:w="1843"/>
                </w:tblGrid>
              </w:tblGridChange>
            </w:tblGrid>
            <w:tr>
              <w:trPr>
                <w:cantSplit w:val="0"/>
                <w:trHeight w:val="256" w:hRule="atLeast"/>
                <w:tblHeader w:val="0"/>
              </w:trPr>
              <w:tc>
                <w:tcPr/>
                <w:p w:rsidR="00000000" w:rsidDel="00000000" w:rsidP="00000000" w:rsidRDefault="00000000" w:rsidRPr="00000000" w14:paraId="00000107">
                  <w:pPr>
                    <w:tabs>
                      <w:tab w:val="left" w:leader="none" w:pos="0"/>
                    </w:tabs>
                    <w:rPr>
                      <w:color w:val="ff0000"/>
                      <w:sz w:val="22"/>
                      <w:szCs w:val="22"/>
                    </w:rPr>
                  </w:pPr>
                  <w:r w:rsidDel="00000000" w:rsidR="00000000" w:rsidRPr="00000000">
                    <w:rPr>
                      <w:sz w:val="22"/>
                      <w:szCs w:val="22"/>
                      <w:rtl w:val="0"/>
                    </w:rPr>
                    <w:t xml:space="preserve">All Pupils (11) </w:t>
                  </w:r>
                  <w:r w:rsidDel="00000000" w:rsidR="00000000" w:rsidRPr="00000000">
                    <w:rPr>
                      <w:rtl w:val="0"/>
                    </w:rPr>
                  </w:r>
                </w:p>
              </w:tc>
              <w:tc>
                <w:tcPr/>
                <w:p w:rsidR="00000000" w:rsidDel="00000000" w:rsidP="00000000" w:rsidRDefault="00000000" w:rsidRPr="00000000" w14:paraId="00000108">
                  <w:pPr>
                    <w:tabs>
                      <w:tab w:val="left" w:leader="none" w:pos="0"/>
                    </w:tabs>
                    <w:rPr>
                      <w:color w:val="000000"/>
                      <w:sz w:val="22"/>
                      <w:szCs w:val="22"/>
                    </w:rPr>
                  </w:pPr>
                  <w:r w:rsidDel="00000000" w:rsidR="00000000" w:rsidRPr="00000000">
                    <w:rPr>
                      <w:color w:val="000000"/>
                      <w:sz w:val="22"/>
                      <w:szCs w:val="22"/>
                      <w:rtl w:val="0"/>
                    </w:rPr>
                    <w:t xml:space="preserve">Read (NA)  %</w:t>
                  </w:r>
                </w:p>
              </w:tc>
              <w:tc>
                <w:tcPr/>
                <w:p w:rsidR="00000000" w:rsidDel="00000000" w:rsidP="00000000" w:rsidRDefault="00000000" w:rsidRPr="00000000" w14:paraId="00000109">
                  <w:pPr>
                    <w:tabs>
                      <w:tab w:val="left" w:leader="none" w:pos="0"/>
                    </w:tabs>
                    <w:rPr>
                      <w:color w:val="000000"/>
                      <w:sz w:val="22"/>
                      <w:szCs w:val="22"/>
                    </w:rPr>
                  </w:pPr>
                  <w:r w:rsidDel="00000000" w:rsidR="00000000" w:rsidRPr="00000000">
                    <w:rPr>
                      <w:color w:val="000000"/>
                      <w:sz w:val="22"/>
                      <w:szCs w:val="22"/>
                      <w:rtl w:val="0"/>
                    </w:rPr>
                    <w:t xml:space="preserve">Write (NA)  %</w:t>
                  </w:r>
                </w:p>
              </w:tc>
              <w:tc>
                <w:tcPr/>
                <w:p w:rsidR="00000000" w:rsidDel="00000000" w:rsidP="00000000" w:rsidRDefault="00000000" w:rsidRPr="00000000" w14:paraId="0000010A">
                  <w:pPr>
                    <w:tabs>
                      <w:tab w:val="left" w:leader="none" w:pos="0"/>
                    </w:tabs>
                    <w:rPr>
                      <w:color w:val="000000"/>
                      <w:sz w:val="22"/>
                      <w:szCs w:val="22"/>
                    </w:rPr>
                  </w:pPr>
                  <w:r w:rsidDel="00000000" w:rsidR="00000000" w:rsidRPr="00000000">
                    <w:rPr>
                      <w:color w:val="000000"/>
                      <w:sz w:val="22"/>
                      <w:szCs w:val="22"/>
                      <w:rtl w:val="0"/>
                    </w:rPr>
                    <w:t xml:space="preserve">Maths (NA)  %</w:t>
                  </w:r>
                </w:p>
              </w:tc>
              <w:tc>
                <w:tcPr/>
                <w:p w:rsidR="00000000" w:rsidDel="00000000" w:rsidP="00000000" w:rsidRDefault="00000000" w:rsidRPr="00000000" w14:paraId="0000010B">
                  <w:pPr>
                    <w:tabs>
                      <w:tab w:val="left" w:leader="none" w:pos="0"/>
                    </w:tabs>
                    <w:rPr>
                      <w:color w:val="000000"/>
                      <w:sz w:val="22"/>
                      <w:szCs w:val="22"/>
                    </w:rPr>
                  </w:pPr>
                  <w:r w:rsidDel="00000000" w:rsidR="00000000" w:rsidRPr="00000000">
                    <w:rPr>
                      <w:color w:val="000000"/>
                      <w:sz w:val="22"/>
                      <w:szCs w:val="22"/>
                      <w:rtl w:val="0"/>
                    </w:rPr>
                    <w:t xml:space="preserve">RWM (NA)  %</w:t>
                  </w:r>
                </w:p>
              </w:tc>
            </w:tr>
            <w:tr>
              <w:trPr>
                <w:cantSplit w:val="0"/>
                <w:trHeight w:val="256" w:hRule="atLeast"/>
                <w:tblHeader w:val="0"/>
              </w:trPr>
              <w:tc>
                <w:tcPr/>
                <w:p w:rsidR="00000000" w:rsidDel="00000000" w:rsidP="00000000" w:rsidRDefault="00000000" w:rsidRPr="00000000" w14:paraId="0000010C">
                  <w:pPr>
                    <w:tabs>
                      <w:tab w:val="left" w:leader="none" w:pos="0"/>
                    </w:tabs>
                    <w:rPr>
                      <w:color w:val="ff0000"/>
                      <w:sz w:val="22"/>
                      <w:szCs w:val="22"/>
                    </w:rPr>
                  </w:pPr>
                  <w:r w:rsidDel="00000000" w:rsidR="00000000" w:rsidRPr="00000000">
                    <w:rPr>
                      <w:sz w:val="22"/>
                      <w:szCs w:val="22"/>
                      <w:rtl w:val="0"/>
                    </w:rPr>
                    <w:t xml:space="preserve">EXS</w:t>
                  </w:r>
                  <w:r w:rsidDel="00000000" w:rsidR="00000000" w:rsidRPr="00000000">
                    <w:rPr>
                      <w:rtl w:val="0"/>
                    </w:rPr>
                  </w:r>
                </w:p>
              </w:tc>
              <w:tc>
                <w:tcPr/>
                <w:p w:rsidR="00000000" w:rsidDel="00000000" w:rsidP="00000000" w:rsidRDefault="00000000" w:rsidRPr="00000000" w14:paraId="0000010D">
                  <w:pPr>
                    <w:tabs>
                      <w:tab w:val="left" w:leader="none" w:pos="0"/>
                    </w:tabs>
                    <w:rPr>
                      <w:color w:val="ff0000"/>
                      <w:sz w:val="22"/>
                      <w:szCs w:val="22"/>
                    </w:rPr>
                  </w:pPr>
                  <w:r w:rsidDel="00000000" w:rsidR="00000000" w:rsidRPr="00000000">
                    <w:rPr>
                      <w:sz w:val="22"/>
                      <w:szCs w:val="22"/>
                      <w:rtl w:val="0"/>
                    </w:rPr>
                    <w:t xml:space="preserve">83 (75)</w:t>
                  </w:r>
                  <w:r w:rsidDel="00000000" w:rsidR="00000000" w:rsidRPr="00000000">
                    <w:rPr>
                      <w:rtl w:val="0"/>
                    </w:rPr>
                  </w:r>
                </w:p>
              </w:tc>
              <w:tc>
                <w:tcPr/>
                <w:p w:rsidR="00000000" w:rsidDel="00000000" w:rsidP="00000000" w:rsidRDefault="00000000" w:rsidRPr="00000000" w14:paraId="0000010E">
                  <w:pPr>
                    <w:tabs>
                      <w:tab w:val="left" w:leader="none" w:pos="0"/>
                    </w:tabs>
                    <w:rPr>
                      <w:sz w:val="22"/>
                      <w:szCs w:val="22"/>
                    </w:rPr>
                  </w:pPr>
                  <w:r w:rsidDel="00000000" w:rsidR="00000000" w:rsidRPr="00000000">
                    <w:rPr>
                      <w:sz w:val="22"/>
                      <w:szCs w:val="22"/>
                      <w:rtl w:val="0"/>
                    </w:rPr>
                    <w:t xml:space="preserve">83 (73)</w:t>
                  </w:r>
                </w:p>
                <w:p w:rsidR="00000000" w:rsidDel="00000000" w:rsidP="00000000" w:rsidRDefault="00000000" w:rsidRPr="00000000" w14:paraId="0000010F">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10">
                  <w:pPr>
                    <w:tabs>
                      <w:tab w:val="left" w:leader="none" w:pos="0"/>
                    </w:tabs>
                    <w:rPr>
                      <w:color w:val="ff0000"/>
                      <w:sz w:val="22"/>
                      <w:szCs w:val="22"/>
                    </w:rPr>
                  </w:pPr>
                  <w:r w:rsidDel="00000000" w:rsidR="00000000" w:rsidRPr="00000000">
                    <w:rPr>
                      <w:sz w:val="22"/>
                      <w:szCs w:val="22"/>
                      <w:rtl w:val="0"/>
                    </w:rPr>
                    <w:t xml:space="preserve">83 (75)</w:t>
                  </w:r>
                  <w:r w:rsidDel="00000000" w:rsidR="00000000" w:rsidRPr="00000000">
                    <w:rPr>
                      <w:rtl w:val="0"/>
                    </w:rPr>
                  </w:r>
                </w:p>
              </w:tc>
              <w:tc>
                <w:tcPr/>
                <w:p w:rsidR="00000000" w:rsidDel="00000000" w:rsidP="00000000" w:rsidRDefault="00000000" w:rsidRPr="00000000" w14:paraId="00000111">
                  <w:pPr>
                    <w:tabs>
                      <w:tab w:val="left" w:leader="none" w:pos="0"/>
                    </w:tabs>
                    <w:rPr>
                      <w:color w:val="ff0000"/>
                      <w:sz w:val="22"/>
                      <w:szCs w:val="22"/>
                    </w:rPr>
                  </w:pPr>
                  <w:r w:rsidDel="00000000" w:rsidR="00000000" w:rsidRPr="00000000">
                    <w:rPr>
                      <w:sz w:val="22"/>
                      <w:szCs w:val="22"/>
                      <w:rtl w:val="0"/>
                    </w:rPr>
                    <w:t xml:space="preserve">83 (63)</w:t>
                  </w: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112">
                  <w:pPr>
                    <w:tabs>
                      <w:tab w:val="left" w:leader="none" w:pos="0"/>
                    </w:tabs>
                    <w:rPr>
                      <w:sz w:val="22"/>
                      <w:szCs w:val="22"/>
                    </w:rPr>
                  </w:pPr>
                  <w:r w:rsidDel="00000000" w:rsidR="00000000" w:rsidRPr="00000000">
                    <w:rPr>
                      <w:sz w:val="22"/>
                      <w:szCs w:val="22"/>
                      <w:rtl w:val="0"/>
                    </w:rPr>
                    <w:t xml:space="preserve">EXS PP (7)</w:t>
                  </w:r>
                </w:p>
                <w:p w:rsidR="00000000" w:rsidDel="00000000" w:rsidP="00000000" w:rsidRDefault="00000000" w:rsidRPr="00000000" w14:paraId="00000113">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14">
                  <w:pPr>
                    <w:tabs>
                      <w:tab w:val="left" w:leader="none" w:pos="0"/>
                    </w:tabs>
                    <w:rPr>
                      <w:color w:val="ff0000"/>
                      <w:sz w:val="22"/>
                      <w:szCs w:val="22"/>
                    </w:rPr>
                  </w:pPr>
                  <w:r w:rsidDel="00000000" w:rsidR="00000000" w:rsidRPr="00000000">
                    <w:rPr>
                      <w:sz w:val="22"/>
                      <w:szCs w:val="22"/>
                      <w:rtl w:val="0"/>
                    </w:rPr>
                    <w:t xml:space="preserve">86</w:t>
                  </w:r>
                  <w:r w:rsidDel="00000000" w:rsidR="00000000" w:rsidRPr="00000000">
                    <w:rPr>
                      <w:rtl w:val="0"/>
                    </w:rPr>
                  </w:r>
                </w:p>
              </w:tc>
              <w:tc>
                <w:tcPr/>
                <w:p w:rsidR="00000000" w:rsidDel="00000000" w:rsidP="00000000" w:rsidRDefault="00000000" w:rsidRPr="00000000" w14:paraId="00000115">
                  <w:pPr>
                    <w:tabs>
                      <w:tab w:val="left" w:leader="none" w:pos="0"/>
                    </w:tabs>
                    <w:rPr>
                      <w:sz w:val="22"/>
                      <w:szCs w:val="22"/>
                    </w:rPr>
                  </w:pPr>
                  <w:r w:rsidDel="00000000" w:rsidR="00000000" w:rsidRPr="00000000">
                    <w:rPr>
                      <w:sz w:val="22"/>
                      <w:szCs w:val="22"/>
                      <w:rtl w:val="0"/>
                    </w:rPr>
                    <w:t xml:space="preserve">86</w:t>
                  </w:r>
                </w:p>
                <w:p w:rsidR="00000000" w:rsidDel="00000000" w:rsidP="00000000" w:rsidRDefault="00000000" w:rsidRPr="00000000" w14:paraId="00000116">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17">
                  <w:pPr>
                    <w:tabs>
                      <w:tab w:val="left" w:leader="none" w:pos="0"/>
                    </w:tabs>
                    <w:rPr>
                      <w:color w:val="ff0000"/>
                      <w:sz w:val="22"/>
                      <w:szCs w:val="22"/>
                    </w:rPr>
                  </w:pPr>
                  <w:r w:rsidDel="00000000" w:rsidR="00000000" w:rsidRPr="00000000">
                    <w:rPr>
                      <w:sz w:val="22"/>
                      <w:szCs w:val="22"/>
                      <w:rtl w:val="0"/>
                    </w:rPr>
                    <w:t xml:space="preserve">86</w:t>
                  </w:r>
                  <w:r w:rsidDel="00000000" w:rsidR="00000000" w:rsidRPr="00000000">
                    <w:rPr>
                      <w:rtl w:val="0"/>
                    </w:rPr>
                  </w:r>
                </w:p>
              </w:tc>
              <w:tc>
                <w:tcPr/>
                <w:p w:rsidR="00000000" w:rsidDel="00000000" w:rsidP="00000000" w:rsidRDefault="00000000" w:rsidRPr="00000000" w14:paraId="00000118">
                  <w:pPr>
                    <w:tabs>
                      <w:tab w:val="left" w:leader="none" w:pos="0"/>
                    </w:tabs>
                    <w:rPr>
                      <w:color w:val="ff0000"/>
                      <w:sz w:val="22"/>
                      <w:szCs w:val="22"/>
                    </w:rPr>
                  </w:pPr>
                  <w:r w:rsidDel="00000000" w:rsidR="00000000" w:rsidRPr="00000000">
                    <w:rPr>
                      <w:sz w:val="22"/>
                      <w:szCs w:val="22"/>
                      <w:rtl w:val="0"/>
                    </w:rPr>
                    <w:t xml:space="preserve">86</w:t>
                  </w: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119">
                  <w:pPr>
                    <w:tabs>
                      <w:tab w:val="left" w:leader="none" w:pos="0"/>
                    </w:tabs>
                    <w:rPr>
                      <w:sz w:val="22"/>
                      <w:szCs w:val="22"/>
                    </w:rPr>
                  </w:pPr>
                  <w:r w:rsidDel="00000000" w:rsidR="00000000" w:rsidRPr="00000000">
                    <w:rPr>
                      <w:sz w:val="22"/>
                      <w:szCs w:val="22"/>
                      <w:rtl w:val="0"/>
                    </w:rPr>
                    <w:t xml:space="preserve">GDS</w:t>
                  </w:r>
                </w:p>
              </w:tc>
              <w:tc>
                <w:tcPr/>
                <w:p w:rsidR="00000000" w:rsidDel="00000000" w:rsidP="00000000" w:rsidRDefault="00000000" w:rsidRPr="00000000" w14:paraId="0000011A">
                  <w:pPr>
                    <w:tabs>
                      <w:tab w:val="left" w:leader="none" w:pos="0"/>
                    </w:tabs>
                    <w:rPr>
                      <w:sz w:val="22"/>
                      <w:szCs w:val="22"/>
                    </w:rPr>
                  </w:pPr>
                  <w:r w:rsidDel="00000000" w:rsidR="00000000" w:rsidRPr="00000000">
                    <w:rPr>
                      <w:sz w:val="22"/>
                      <w:szCs w:val="22"/>
                      <w:rtl w:val="0"/>
                    </w:rPr>
                    <w:t xml:space="preserve">50</w:t>
                  </w:r>
                </w:p>
              </w:tc>
              <w:tc>
                <w:tcPr/>
                <w:p w:rsidR="00000000" w:rsidDel="00000000" w:rsidP="00000000" w:rsidRDefault="00000000" w:rsidRPr="00000000" w14:paraId="0000011B">
                  <w:pPr>
                    <w:tabs>
                      <w:tab w:val="left" w:leader="none" w:pos="0"/>
                    </w:tabs>
                    <w:rPr>
                      <w:sz w:val="22"/>
                      <w:szCs w:val="22"/>
                    </w:rPr>
                  </w:pPr>
                  <w:r w:rsidDel="00000000" w:rsidR="00000000" w:rsidRPr="00000000">
                    <w:rPr>
                      <w:sz w:val="22"/>
                      <w:szCs w:val="22"/>
                      <w:rtl w:val="0"/>
                    </w:rPr>
                    <w:t xml:space="preserve">33</w:t>
                  </w:r>
                </w:p>
              </w:tc>
              <w:tc>
                <w:tcPr/>
                <w:p w:rsidR="00000000" w:rsidDel="00000000" w:rsidP="00000000" w:rsidRDefault="00000000" w:rsidRPr="00000000" w14:paraId="0000011C">
                  <w:pPr>
                    <w:tabs>
                      <w:tab w:val="left" w:leader="none" w:pos="0"/>
                    </w:tabs>
                    <w:rPr>
                      <w:sz w:val="22"/>
                      <w:szCs w:val="22"/>
                    </w:rPr>
                  </w:pPr>
                  <w:r w:rsidDel="00000000" w:rsidR="00000000" w:rsidRPr="00000000">
                    <w:rPr>
                      <w:sz w:val="22"/>
                      <w:szCs w:val="22"/>
                      <w:rtl w:val="0"/>
                    </w:rPr>
                    <w:t xml:space="preserve">33</w:t>
                  </w:r>
                </w:p>
                <w:p w:rsidR="00000000" w:rsidDel="00000000" w:rsidP="00000000" w:rsidRDefault="00000000" w:rsidRPr="00000000" w14:paraId="0000011D">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1E">
                  <w:pPr>
                    <w:tabs>
                      <w:tab w:val="left" w:leader="none" w:pos="0"/>
                    </w:tabs>
                    <w:rPr>
                      <w:sz w:val="22"/>
                      <w:szCs w:val="22"/>
                    </w:rPr>
                  </w:pPr>
                  <w:r w:rsidDel="00000000" w:rsidR="00000000" w:rsidRPr="00000000">
                    <w:rPr>
                      <w:sz w:val="22"/>
                      <w:szCs w:val="22"/>
                      <w:rtl w:val="0"/>
                    </w:rPr>
                    <w:t xml:space="preserve">25</w:t>
                  </w:r>
                </w:p>
                <w:p w:rsidR="00000000" w:rsidDel="00000000" w:rsidP="00000000" w:rsidRDefault="00000000" w:rsidRPr="00000000" w14:paraId="0000011F">
                  <w:pPr>
                    <w:tabs>
                      <w:tab w:val="left" w:leader="none" w:pos="0"/>
                    </w:tabs>
                    <w:rPr>
                      <w:sz w:val="22"/>
                      <w:szCs w:val="22"/>
                    </w:rPr>
                  </w:pPr>
                  <w:r w:rsidDel="00000000" w:rsidR="00000000" w:rsidRPr="00000000">
                    <w:rPr>
                      <w:rtl w:val="0"/>
                    </w:rPr>
                  </w:r>
                </w:p>
              </w:tc>
            </w:tr>
            <w:tr>
              <w:trPr>
                <w:cantSplit w:val="0"/>
                <w:trHeight w:val="256" w:hRule="atLeast"/>
                <w:tblHeader w:val="0"/>
              </w:trPr>
              <w:tc>
                <w:tcPr/>
                <w:p w:rsidR="00000000" w:rsidDel="00000000" w:rsidP="00000000" w:rsidRDefault="00000000" w:rsidRPr="00000000" w14:paraId="00000120">
                  <w:pPr>
                    <w:tabs>
                      <w:tab w:val="left" w:leader="none" w:pos="0"/>
                    </w:tabs>
                    <w:rPr>
                      <w:sz w:val="22"/>
                      <w:szCs w:val="22"/>
                    </w:rPr>
                  </w:pPr>
                  <w:r w:rsidDel="00000000" w:rsidR="00000000" w:rsidRPr="00000000">
                    <w:rPr>
                      <w:sz w:val="22"/>
                      <w:szCs w:val="22"/>
                      <w:rtl w:val="0"/>
                    </w:rPr>
                    <w:t xml:space="preserve">GDS PP (7)</w:t>
                  </w:r>
                </w:p>
                <w:p w:rsidR="00000000" w:rsidDel="00000000" w:rsidP="00000000" w:rsidRDefault="00000000" w:rsidRPr="00000000" w14:paraId="00000121">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22">
                  <w:pPr>
                    <w:tabs>
                      <w:tab w:val="left" w:leader="none" w:pos="0"/>
                    </w:tabs>
                    <w:rPr>
                      <w:sz w:val="22"/>
                      <w:szCs w:val="22"/>
                    </w:rPr>
                  </w:pPr>
                  <w:r w:rsidDel="00000000" w:rsidR="00000000" w:rsidRPr="00000000">
                    <w:rPr>
                      <w:sz w:val="22"/>
                      <w:szCs w:val="22"/>
                      <w:rtl w:val="0"/>
                    </w:rPr>
                    <w:t xml:space="preserve">43</w:t>
                  </w:r>
                </w:p>
              </w:tc>
              <w:tc>
                <w:tcPr/>
                <w:p w:rsidR="00000000" w:rsidDel="00000000" w:rsidP="00000000" w:rsidRDefault="00000000" w:rsidRPr="00000000" w14:paraId="00000123">
                  <w:pPr>
                    <w:tabs>
                      <w:tab w:val="left" w:leader="none" w:pos="0"/>
                    </w:tabs>
                    <w:rPr>
                      <w:sz w:val="22"/>
                      <w:szCs w:val="22"/>
                    </w:rPr>
                  </w:pPr>
                  <w:r w:rsidDel="00000000" w:rsidR="00000000" w:rsidRPr="00000000">
                    <w:rPr>
                      <w:sz w:val="22"/>
                      <w:szCs w:val="22"/>
                      <w:rtl w:val="0"/>
                    </w:rPr>
                    <w:t xml:space="preserve">14</w:t>
                  </w:r>
                </w:p>
              </w:tc>
              <w:tc>
                <w:tcPr/>
                <w:p w:rsidR="00000000" w:rsidDel="00000000" w:rsidP="00000000" w:rsidRDefault="00000000" w:rsidRPr="00000000" w14:paraId="00000124">
                  <w:pPr>
                    <w:tabs>
                      <w:tab w:val="left" w:leader="none" w:pos="0"/>
                    </w:tabs>
                    <w:rPr>
                      <w:sz w:val="22"/>
                      <w:szCs w:val="22"/>
                    </w:rPr>
                  </w:pPr>
                  <w:r w:rsidDel="00000000" w:rsidR="00000000" w:rsidRPr="00000000">
                    <w:rPr>
                      <w:sz w:val="22"/>
                      <w:szCs w:val="22"/>
                      <w:rtl w:val="0"/>
                    </w:rPr>
                    <w:t xml:space="preserve">28</w:t>
                  </w:r>
                </w:p>
                <w:p w:rsidR="00000000" w:rsidDel="00000000" w:rsidP="00000000" w:rsidRDefault="00000000" w:rsidRPr="00000000" w14:paraId="00000125">
                  <w:pPr>
                    <w:tabs>
                      <w:tab w:val="left" w:leader="none" w:pos="0"/>
                    </w:tabs>
                    <w:rPr>
                      <w:sz w:val="22"/>
                      <w:szCs w:val="22"/>
                    </w:rPr>
                  </w:pPr>
                  <w:r w:rsidDel="00000000" w:rsidR="00000000" w:rsidRPr="00000000">
                    <w:rPr>
                      <w:rtl w:val="0"/>
                    </w:rPr>
                  </w:r>
                </w:p>
              </w:tc>
              <w:tc>
                <w:tcPr/>
                <w:p w:rsidR="00000000" w:rsidDel="00000000" w:rsidP="00000000" w:rsidRDefault="00000000" w:rsidRPr="00000000" w14:paraId="00000126">
                  <w:pPr>
                    <w:tabs>
                      <w:tab w:val="left" w:leader="none" w:pos="0"/>
                    </w:tabs>
                    <w:rPr>
                      <w:sz w:val="22"/>
                      <w:szCs w:val="22"/>
                    </w:rPr>
                  </w:pPr>
                  <w:r w:rsidDel="00000000" w:rsidR="00000000" w:rsidRPr="00000000">
                    <w:rPr>
                      <w:sz w:val="22"/>
                      <w:szCs w:val="22"/>
                      <w:rtl w:val="0"/>
                    </w:rPr>
                    <w:t xml:space="preserve">14</w:t>
                  </w:r>
                </w:p>
                <w:p w:rsidR="00000000" w:rsidDel="00000000" w:rsidP="00000000" w:rsidRDefault="00000000" w:rsidRPr="00000000" w14:paraId="00000127">
                  <w:pPr>
                    <w:tabs>
                      <w:tab w:val="left" w:leader="none" w:pos="0"/>
                    </w:tabs>
                    <w:rPr>
                      <w:sz w:val="22"/>
                      <w:szCs w:val="22"/>
                    </w:rPr>
                  </w:pPr>
                  <w:r w:rsidDel="00000000" w:rsidR="00000000" w:rsidRPr="00000000">
                    <w:rPr>
                      <w:rtl w:val="0"/>
                    </w:rPr>
                  </w:r>
                </w:p>
              </w:tc>
            </w:tr>
          </w:tbl>
          <w:p w:rsidR="00000000" w:rsidDel="00000000" w:rsidP="00000000" w:rsidRDefault="00000000" w:rsidRPr="00000000" w14:paraId="00000128">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129">
            <w:pPr>
              <w:widowControl w:val="0"/>
              <w:tabs>
                <w:tab w:val="left" w:leader="none" w:pos="0"/>
              </w:tabs>
              <w:spacing w:after="0" w:line="240" w:lineRule="auto"/>
              <w:rPr/>
            </w:pPr>
            <w:r w:rsidDel="00000000" w:rsidR="00000000" w:rsidRPr="00000000">
              <w:rPr>
                <w:rtl w:val="0"/>
              </w:rPr>
              <w:t xml:space="preserve">Outcomes in GLD and PSC in 2026 were above average for the third consecutive year with 89% (all) 67% (PP) reaching GLD. 100% of pupils achieved PSC pass.  </w:t>
            </w:r>
          </w:p>
          <w:p w:rsidR="00000000" w:rsidDel="00000000" w:rsidP="00000000" w:rsidRDefault="00000000" w:rsidRPr="00000000" w14:paraId="0000012A">
            <w:pPr>
              <w:widowControl w:val="0"/>
              <w:tabs>
                <w:tab w:val="left" w:leader="none" w:pos="0"/>
              </w:tabs>
              <w:spacing w:after="0" w:line="240" w:lineRule="auto"/>
              <w:rPr/>
            </w:pPr>
            <w:r w:rsidDel="00000000" w:rsidR="00000000" w:rsidRPr="00000000">
              <w:rPr>
                <w:rtl w:val="0"/>
              </w:rPr>
            </w:r>
          </w:p>
          <w:p w:rsidR="00000000" w:rsidDel="00000000" w:rsidP="00000000" w:rsidRDefault="00000000" w:rsidRPr="00000000" w14:paraId="0000012B">
            <w:pPr>
              <w:widowControl w:val="0"/>
              <w:tabs>
                <w:tab w:val="left" w:leader="none" w:pos="0"/>
              </w:tabs>
              <w:spacing w:after="0" w:line="240" w:lineRule="auto"/>
              <w:rPr/>
            </w:pPr>
            <w:r w:rsidDel="00000000" w:rsidR="00000000" w:rsidRPr="00000000">
              <w:rPr>
                <w:rtl w:val="0"/>
              </w:rPr>
              <w:t xml:space="preserve">Y4 MTC improved from 31% in 2025 to 50% in 2026 achieving full marks. , reaching the national average of 31% (4/13) achieving full marks, 67% (PP) achieved full marks.</w:t>
            </w:r>
          </w:p>
          <w:p w:rsidR="00000000" w:rsidDel="00000000" w:rsidP="00000000" w:rsidRDefault="00000000" w:rsidRPr="00000000" w14:paraId="0000012C">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12D">
            <w:pPr>
              <w:widowControl w:val="0"/>
              <w:tabs>
                <w:tab w:val="left" w:leader="none" w:pos="0"/>
              </w:tabs>
              <w:spacing w:after="0" w:line="240" w:lineRule="auto"/>
              <w:rPr>
                <w:color w:val="000000"/>
              </w:rPr>
            </w:pPr>
            <w:r w:rsidDel="00000000" w:rsidR="00000000" w:rsidRPr="00000000">
              <w:rPr>
                <w:color w:val="000000"/>
                <w:rtl w:val="0"/>
              </w:rPr>
              <w:t xml:space="preserve">Leaders remain resolute in continuing to raise standards for all pupils through rigorous monitoring and high expectations, regardless of disadvantage. </w:t>
            </w:r>
          </w:p>
          <w:p w:rsidR="00000000" w:rsidDel="00000000" w:rsidP="00000000" w:rsidRDefault="00000000" w:rsidRPr="00000000" w14:paraId="0000012E">
            <w:pPr>
              <w:spacing w:after="60" w:before="60" w:line="240" w:lineRule="auto"/>
              <w:ind w:right="57"/>
              <w:rPr>
                <w:color w:val="00b050"/>
                <w:sz w:val="20"/>
                <w:szCs w:val="20"/>
              </w:rPr>
            </w:pPr>
            <w:r w:rsidDel="00000000" w:rsidR="00000000" w:rsidRPr="00000000">
              <w:rPr>
                <w:rtl w:val="0"/>
              </w:rPr>
            </w:r>
          </w:p>
          <w:p w:rsidR="00000000" w:rsidDel="00000000" w:rsidP="00000000" w:rsidRDefault="00000000" w:rsidRPr="00000000" w14:paraId="0000012F">
            <w:pPr>
              <w:spacing w:after="60" w:before="60" w:line="240" w:lineRule="auto"/>
              <w:ind w:right="57"/>
              <w:rPr>
                <w:color w:val="000000"/>
              </w:rPr>
            </w:pPr>
            <w:r w:rsidDel="00000000" w:rsidR="00000000" w:rsidRPr="00000000">
              <w:rPr>
                <w:color w:val="000000"/>
                <w:rtl w:val="0"/>
              </w:rPr>
              <w:t xml:space="preserve">Next Steps:</w:t>
            </w:r>
          </w:p>
          <w:p w:rsidR="00000000" w:rsidDel="00000000" w:rsidP="00000000" w:rsidRDefault="00000000" w:rsidRPr="00000000" w14:paraId="00000130">
            <w:pPr>
              <w:numPr>
                <w:ilvl w:val="0"/>
                <w:numId w:val="1"/>
              </w:numPr>
              <w:spacing w:after="60" w:before="60" w:line="240" w:lineRule="auto"/>
              <w:ind w:left="720" w:right="57" w:hanging="360"/>
              <w:rPr>
                <w:color w:val="000000"/>
              </w:rPr>
            </w:pPr>
            <w:r w:rsidDel="00000000" w:rsidR="00000000" w:rsidRPr="00000000">
              <w:rPr>
                <w:color w:val="000000"/>
                <w:rtl w:val="0"/>
              </w:rPr>
              <w:t xml:space="preserve">Monitor new systems for assessing reading ages and use this to provide targeted intervention and support.</w:t>
            </w:r>
          </w:p>
          <w:p w:rsidR="00000000" w:rsidDel="00000000" w:rsidP="00000000" w:rsidRDefault="00000000" w:rsidRPr="00000000" w14:paraId="00000131">
            <w:pPr>
              <w:numPr>
                <w:ilvl w:val="0"/>
                <w:numId w:val="1"/>
              </w:numPr>
              <w:spacing w:after="60" w:before="60" w:line="240" w:lineRule="auto"/>
              <w:ind w:left="720" w:right="57" w:hanging="360"/>
              <w:rPr>
                <w:color w:val="000000"/>
              </w:rPr>
            </w:pPr>
            <w:r w:rsidDel="00000000" w:rsidR="00000000" w:rsidRPr="00000000">
              <w:rPr>
                <w:color w:val="000000"/>
                <w:rtl w:val="0"/>
              </w:rPr>
              <w:t xml:space="preserve">Aim to maintain and sustain the progress in GPS results. 3 year average for Snettisham is 53%, (national 59%), 2025 Snettisham 80% (national 60%), increased to 86% in 2026. Ensure connections between fundamentals in Literacy are securely linked to content of lesson (grammar, spelling, writing) in all year groups.</w:t>
            </w:r>
          </w:p>
          <w:p w:rsidR="00000000" w:rsidDel="00000000" w:rsidP="00000000" w:rsidRDefault="00000000" w:rsidRPr="00000000" w14:paraId="00000132">
            <w:pPr>
              <w:numPr>
                <w:ilvl w:val="0"/>
                <w:numId w:val="1"/>
              </w:numPr>
              <w:spacing w:after="60" w:before="60" w:line="240" w:lineRule="auto"/>
              <w:ind w:left="720" w:right="57" w:hanging="360"/>
              <w:rPr>
                <w:color w:val="000000"/>
              </w:rPr>
            </w:pPr>
            <w:bookmarkStart w:colFirst="0" w:colLast="0" w:name="_heading=h.oaspcd1e8hn5" w:id="5"/>
            <w:bookmarkEnd w:id="5"/>
            <w:r w:rsidDel="00000000" w:rsidR="00000000" w:rsidRPr="00000000">
              <w:rPr>
                <w:color w:val="000000"/>
                <w:rtl w:val="0"/>
              </w:rPr>
              <w:t xml:space="preserve">Develop wellbeing and self-confidence by establishing a reading routine that fosters joy, peer connection and confidence through shared storytelling and personalised book choices. </w:t>
            </w:r>
          </w:p>
          <w:p w:rsidR="00000000" w:rsidDel="00000000" w:rsidP="00000000" w:rsidRDefault="00000000" w:rsidRPr="00000000" w14:paraId="00000133">
            <w:pPr>
              <w:numPr>
                <w:ilvl w:val="0"/>
                <w:numId w:val="1"/>
              </w:numPr>
              <w:spacing w:after="60" w:before="60" w:line="240" w:lineRule="auto"/>
              <w:ind w:left="720" w:right="57" w:hanging="360"/>
              <w:rPr>
                <w:color w:val="000000"/>
              </w:rPr>
            </w:pPr>
            <w:r w:rsidDel="00000000" w:rsidR="00000000" w:rsidRPr="00000000">
              <w:rPr>
                <w:color w:val="222222"/>
                <w:highlight w:val="white"/>
                <w:rtl w:val="0"/>
              </w:rPr>
              <w:t xml:space="preserve">Improving attendance for all pupils, particularly those with additional needs is a continuing priority. </w:t>
            </w:r>
            <w:r w:rsidDel="00000000" w:rsidR="00000000" w:rsidRPr="00000000">
              <w:rPr>
                <w:color w:val="000000"/>
                <w:rtl w:val="0"/>
              </w:rPr>
              <w:t xml:space="preserve">Aim to maintain improved PP attendance, school is 93.6%, national is 92.3%</w:t>
            </w:r>
          </w:p>
          <w:p w:rsidR="00000000" w:rsidDel="00000000" w:rsidP="00000000" w:rsidRDefault="00000000" w:rsidRPr="00000000" w14:paraId="00000134">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135">
            <w:pPr>
              <w:spacing w:after="60" w:before="60" w:line="240" w:lineRule="auto"/>
              <w:ind w:right="57"/>
              <w:rPr>
                <w:color w:val="000000"/>
              </w:rPr>
            </w:pPr>
            <w:r w:rsidDel="00000000" w:rsidR="00000000" w:rsidRPr="00000000">
              <w:rPr>
                <w:b w:val="1"/>
                <w:bCs w:val="1"/>
                <w:rtl w:val="0"/>
              </w:rPr>
              <w:t xml:space="preserve">Children to have access to wider opportunities - </w:t>
            </w:r>
            <w:r w:rsidDel="00000000" w:rsidR="00000000" w:rsidRPr="00000000">
              <w:rPr>
                <w:color w:val="000000"/>
                <w:rtl w:val="0"/>
              </w:rPr>
              <w:t xml:space="preserve">Pupils had access to a range of wider opportunities this academic year including: swimming lessons, whole-school Sports Day, </w:t>
            </w:r>
            <w:r w:rsidDel="00000000" w:rsidR="00000000" w:rsidRPr="00000000">
              <w:rPr>
                <w:rtl w:val="0"/>
              </w:rPr>
              <w:t xml:space="preserve">Sports Council (including SSP meetings), Trust sports events such as archery, a range of Cluster Events, e.g. cross country, cycling, tri-golf and Croydon Cup.</w:t>
            </w: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136">
            <w:pPr>
              <w:spacing w:after="0" w:line="240" w:lineRule="auto"/>
              <w:rPr>
                <w:color w:val="000000"/>
              </w:rPr>
            </w:pPr>
            <w:r w:rsidDel="00000000" w:rsidR="00000000" w:rsidRPr="00000000">
              <w:rPr>
                <w:rtl w:val="0"/>
              </w:rPr>
              <w:t xml:space="preserve">Life Skills taught have included: </w:t>
            </w:r>
            <w:r w:rsidDel="00000000" w:rsidR="00000000" w:rsidRPr="00000000">
              <w:rPr>
                <w:color w:val="000000"/>
                <w:rtl w:val="0"/>
              </w:rPr>
              <w:t xml:space="preserve">using a knife and fork</w:t>
            </w:r>
            <w:r w:rsidDel="00000000" w:rsidR="00000000" w:rsidRPr="00000000">
              <w:rPr>
                <w:rtl w:val="0"/>
              </w:rPr>
              <w:t xml:space="preserve">, </w:t>
            </w:r>
            <w:r w:rsidDel="00000000" w:rsidR="00000000" w:rsidRPr="00000000">
              <w:rPr>
                <w:color w:val="000000"/>
                <w:rtl w:val="0"/>
              </w:rPr>
              <w:t xml:space="preserve">toileting, coats, getting dressed sandwiches</w:t>
            </w:r>
            <w:r w:rsidDel="00000000" w:rsidR="00000000" w:rsidRPr="00000000">
              <w:rPr>
                <w:rtl w:val="0"/>
              </w:rPr>
              <w:t xml:space="preserve">, </w:t>
            </w:r>
            <w:r w:rsidDel="00000000" w:rsidR="00000000" w:rsidRPr="00000000">
              <w:rPr>
                <w:color w:val="000000"/>
                <w:rtl w:val="0"/>
              </w:rPr>
              <w:t xml:space="preserve">brushing teeth</w:t>
            </w:r>
            <w:r w:rsidDel="00000000" w:rsidR="00000000" w:rsidRPr="00000000">
              <w:rPr>
                <w:rtl w:val="0"/>
              </w:rPr>
              <w:t xml:space="preserve">, </w:t>
            </w:r>
            <w:r w:rsidDel="00000000" w:rsidR="00000000" w:rsidRPr="00000000">
              <w:rPr>
                <w:color w:val="000000"/>
                <w:rtl w:val="0"/>
              </w:rPr>
              <w:t xml:space="preserve">making a bed, making a cup of tea, putting on a duvet and washing up.</w:t>
            </w:r>
          </w:p>
          <w:p w:rsidR="00000000" w:rsidDel="00000000" w:rsidP="00000000" w:rsidRDefault="00000000" w:rsidRPr="00000000" w14:paraId="00000137">
            <w:pPr>
              <w:spacing w:line="240" w:lineRule="auto"/>
              <w:rPr/>
            </w:pPr>
            <w:r w:rsidDel="00000000" w:rsidR="00000000" w:rsidRPr="00000000">
              <w:rPr>
                <w:color w:val="000000"/>
                <w:rtl w:val="0"/>
              </w:rPr>
              <w:t xml:space="preserve">Trips and visits have included: Public Speaking Literary Event held at King’s Lynn Corn Exchange, Y5 transition days Smithdon High School, Y6 transition Smithdon High School, Crucial Crew, Brilliant Club which included a graduation event at Cambridge University, Soroptimist Public Speaking event (2/3 PP and they came second), Cambridge and West Norfolk and Young Carer sessions. Trips to the Sainsbury Centre, Duxford, working with outside agencies on the development of the local area, True’s Yard and Pensthorpe. Year 5 and 6 pupils also attended a residential at Hilltop which featured in the Lynn News.                                                                                                                                    Assemblies have included: Celebration assemblies and singing assemblies. Some assemblies have been taken from the Enrichment Map and have included: International Peace Day, World Animal Day, World Smile Day, World Kindness Day, Bonfire Night, Remembrance, Universal Children’s Day, Go Green Week and Safer Internet Day. These have been complimented by No Outsiders assemblies in class which are weekly.                                                                                                           Trust/school events and workshops have included: Mental Health Week, West Norfolk Academies Trust Music Concert, World Book Day, Soroptimists International Public Speaking Event at the college (second place awarded), Smithdon High School Year 3/4 Sports Festival, West Norfolk Academies Trust Dance Festival, West Norfolk Academies Trust Primary Maths Challenge, Apprenticeship Day and the Trust Spelling Bee.   Remembrance performances, WNAT Carol Service and all events are very well attended, Times Table Rockstars Day promoted a love of Maths and supported our improvements in MTC. Fundraisers have included: Christmas Jumper Day, Red Nose Day, Hello Yellow and our annual Christmas fair.</w:t>
            </w:r>
            <w:r w:rsidDel="00000000" w:rsidR="00000000" w:rsidRPr="00000000">
              <w:rPr>
                <w:b w:val="1"/>
                <w:bCs w:val="1"/>
                <w:i w:val="1"/>
                <w:iCs w:val="1"/>
                <w:color w:val="000000"/>
                <w:rtl w:val="0"/>
              </w:rPr>
              <w:t xml:space="preserve"> </w:t>
            </w:r>
            <w:r w:rsidDel="00000000" w:rsidR="00000000" w:rsidRPr="00000000">
              <w:rPr>
                <w:color w:val="000000"/>
                <w:rtl w:val="0"/>
              </w:rPr>
              <w:t xml:space="preserve">On average, disadvantaged pupils h</w:t>
            </w:r>
            <w:r w:rsidDel="00000000" w:rsidR="00000000" w:rsidRPr="00000000">
              <w:rPr>
                <w:rtl w:val="0"/>
              </w:rPr>
              <w:t xml:space="preserve">ave accounted for between 30%-60% of pupils participating in key events and enrichment opportunities. Our pupils have the opportunity to become leaders within the school (Reading Ambassadors, Sports Leaders, Environmental Leaders, Junior Leadership Team and Art Leaders). 50% of our JLT were PP and 100% of our Head Pupils were PP.</w:t>
            </w:r>
          </w:p>
          <w:p w:rsidR="00000000" w:rsidDel="00000000" w:rsidP="00000000" w:rsidRDefault="00000000" w:rsidRPr="00000000" w14:paraId="00000138">
            <w:pPr>
              <w:spacing w:after="60" w:before="60" w:line="240" w:lineRule="auto"/>
              <w:ind w:right="57"/>
              <w:rPr>
                <w:color w:val="000000"/>
              </w:rPr>
            </w:pPr>
            <w:r w:rsidDel="00000000" w:rsidR="00000000" w:rsidRPr="00000000">
              <w:rPr>
                <w:b w:val="1"/>
                <w:bCs w:val="1"/>
                <w:rtl w:val="0"/>
              </w:rPr>
              <w:t xml:space="preserve">Improved parental engagement - </w:t>
            </w:r>
            <w:r w:rsidDel="00000000" w:rsidR="00000000" w:rsidRPr="00000000">
              <w:rPr>
                <w:rtl w:val="0"/>
              </w:rPr>
              <w:t xml:space="preserve">Parental engagement continues to thrive through parents' evenings, school events, workshops, trips and extra-curricular clubs. The PTA has successfully hosted events, including a well-attended Christmas Fair. Engagement via Class Dojo remains positive, and newsletters along with knowledge organisers are shared every half term to strengthen the home-school partnership. </w:t>
            </w:r>
            <w:r w:rsidDel="00000000" w:rsidR="00000000" w:rsidRPr="00000000">
              <w:rPr>
                <w:color w:val="000000"/>
                <w:rtl w:val="0"/>
              </w:rPr>
              <w:t xml:space="preserve">The autumn term parent survey was very positive with 100% recommending Snettisham Primary School because pupils are happy and feel safe. Parents attend Trust music events, are invited into school for Life Skills, Apprenticeship Day, World Book Day and attendance is tracked.</w:t>
            </w:r>
          </w:p>
          <w:p w:rsidR="00000000" w:rsidDel="00000000" w:rsidP="00000000" w:rsidRDefault="00000000" w:rsidRPr="00000000" w14:paraId="00000139">
            <w:pPr>
              <w:spacing w:after="60" w:before="60" w:line="240" w:lineRule="auto"/>
              <w:ind w:right="57"/>
              <w:rPr>
                <w:b w:val="1"/>
                <w:bCs w:val="1"/>
              </w:rPr>
            </w:pPr>
            <w:r w:rsidDel="00000000" w:rsidR="00000000" w:rsidRPr="00000000">
              <w:rPr>
                <w:rtl w:val="0"/>
              </w:rPr>
            </w:r>
          </w:p>
          <w:p w:rsidR="00000000" w:rsidDel="00000000" w:rsidP="00000000" w:rsidRDefault="00000000" w:rsidRPr="00000000" w14:paraId="0000013A">
            <w:pPr>
              <w:spacing w:line="240" w:lineRule="auto"/>
              <w:rPr/>
            </w:pPr>
            <w:r w:rsidDel="00000000" w:rsidR="00000000" w:rsidRPr="00000000">
              <w:rPr>
                <w:b w:val="1"/>
                <w:bCs w:val="1"/>
                <w:rtl w:val="0"/>
              </w:rPr>
              <w:t xml:space="preserve">Every teacher a teacher of SEND – </w:t>
            </w:r>
            <w:r w:rsidDel="00000000" w:rsidR="00000000" w:rsidRPr="00000000">
              <w:rPr>
                <w:rtl w:val="0"/>
              </w:rPr>
              <w:t xml:space="preserve">Regular planned CPD has supported staff development and enhanced our offer to pupils. Autumn term: script review, INDES and learning plans, lowest 20% technology and handwriting.</w:t>
            </w:r>
            <w:r w:rsidDel="00000000" w:rsidR="00000000" w:rsidRPr="00000000">
              <w:rPr>
                <w:color w:val="ff0000"/>
                <w:rtl w:val="0"/>
              </w:rPr>
              <w:t xml:space="preserve"> </w:t>
            </w:r>
            <w:r w:rsidDel="00000000" w:rsidR="00000000" w:rsidRPr="00000000">
              <w:rPr>
                <w:color w:val="000000"/>
                <w:rtl w:val="0"/>
              </w:rPr>
              <w:t xml:space="preserve">Julie Stewart delivered training on SEND support. Extra CPD has been delivered on how to adapt learning, use Widgit, etc. Spring term CPD has been planned to support teachers in writing learning plans and how to audit these. CPD on the development of the teaching of other subjects was delivered in the autumn, along with the use of AI in schools. </w:t>
            </w:r>
            <w:r w:rsidDel="00000000" w:rsidR="00000000" w:rsidRPr="00000000">
              <w:rPr>
                <w:rtl w:val="0"/>
              </w:rPr>
              <w:t xml:space="preserve">Spring term: SALT, Wellcomm, planning adaptions and learning plan reviews. Summer term: Fundamentals, mental health team, adapting plans for pupils at PKS and using teaching assistants effectively.  </w:t>
            </w:r>
          </w:p>
          <w:p w:rsidR="00000000" w:rsidDel="00000000" w:rsidP="00000000" w:rsidRDefault="00000000" w:rsidRPr="00000000" w14:paraId="0000013B">
            <w:pPr>
              <w:spacing w:line="240" w:lineRule="auto"/>
              <w:rPr/>
            </w:pPr>
            <w:r w:rsidDel="00000000" w:rsidR="00000000" w:rsidRPr="00000000">
              <w:rPr>
                <w:rtl w:val="0"/>
              </w:rPr>
              <w:t xml:space="preserve">Adaptions are in place for all SEND pupils to support learning. These include sensory circuits, widgit timetables, busy boxes, chair bands, wobble cushions, brain breaks (including gardening), pastoral support, enlarged lines and squares in books, pens, coloured pages, overlays, emotion cards, social stories.</w:t>
            </w:r>
          </w:p>
          <w:p w:rsidR="00000000" w:rsidDel="00000000" w:rsidP="00000000" w:rsidRDefault="00000000" w:rsidRPr="00000000" w14:paraId="0000013C">
            <w:pPr>
              <w:spacing w:line="240" w:lineRule="auto"/>
              <w:rPr>
                <w:b w:val="1"/>
                <w:bCs w:val="1"/>
              </w:rPr>
            </w:pPr>
            <w:r w:rsidDel="00000000" w:rsidR="00000000" w:rsidRPr="00000000">
              <w:rPr>
                <w:rtl w:val="0"/>
              </w:rPr>
              <w:t xml:space="preserve">SEND team work alongside staff to ensure planned adaptions are in place and continue to be effective. Screening completed as required and outcomes/suggestions for support shared with staff. Professional reports shared via provision mapping – outcomes feed into learning plan targets. Learning plans are on provision mapping and are reviewed/renewed every term (children and families are part of this process and their views are captured). </w:t>
            </w:r>
            <w:r w:rsidDel="00000000" w:rsidR="00000000" w:rsidRPr="00000000">
              <w:rPr>
                <w:rtl w:val="0"/>
              </w:rPr>
            </w:r>
          </w:p>
          <w:p w:rsidR="00000000" w:rsidDel="00000000" w:rsidP="00000000" w:rsidRDefault="00000000" w:rsidRPr="00000000" w14:paraId="0000013D">
            <w:pPr>
              <w:spacing w:after="60" w:before="60" w:line="240" w:lineRule="auto"/>
              <w:ind w:right="57"/>
              <w:rPr/>
            </w:pPr>
            <w:r w:rsidDel="00000000" w:rsidR="00000000" w:rsidRPr="00000000">
              <w:rPr>
                <w:b w:val="1"/>
                <w:bCs w:val="1"/>
                <w:rtl w:val="0"/>
              </w:rPr>
              <w:t xml:space="preserve">Improved % attendance -</w:t>
            </w:r>
            <w:r w:rsidDel="00000000" w:rsidR="00000000" w:rsidRPr="00000000">
              <w:rPr>
                <w:color w:val="ff0000"/>
                <w:rtl w:val="0"/>
              </w:rPr>
              <w:t xml:space="preserve">. </w:t>
            </w:r>
            <w:r w:rsidDel="00000000" w:rsidR="00000000" w:rsidRPr="00000000">
              <w:rPr>
                <w:rtl w:val="0"/>
              </w:rPr>
              <w:t xml:space="preserve">Attendance for this year stands at 94% for all pupils, while attendance for disadvantaged pupils (PP) is 93.5% (national is 92.3%). This is a significant improvement on 87.7% in 2024. Improving attendance will remain a key focus in 2026–27 as research indicates that three-quarters of schools in England identify poor attendance and low reading levels as the most significant barriers to academic achievement among socio-economically disadvantaged pupils.</w:t>
            </w:r>
          </w:p>
        </w:tc>
      </w:tr>
    </w:tbl>
    <w:p w:rsidR="00000000" w:rsidDel="00000000" w:rsidP="00000000" w:rsidRDefault="00000000" w:rsidRPr="00000000" w14:paraId="0000013E">
      <w:pPr>
        <w:pStyle w:val="Heading1"/>
        <w:rPr/>
      </w:pPr>
      <w:r w:rsidDel="00000000" w:rsidR="00000000" w:rsidRPr="00000000">
        <w:rPr>
          <w:rtl w:val="0"/>
        </w:rPr>
      </w:r>
    </w:p>
    <w:sectPr>
      <w:headerReference r:id="rId12" w:type="default"/>
      <w:footerReference r:id="rId13"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firstLine="4513"/>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decimal"/>
      <w:lvlText w:val="%2"/>
      <w:lvlJc w:val="left"/>
      <w:pPr>
        <w:ind w:left="0" w:firstLine="0"/>
      </w:pPr>
      <w:rPr/>
    </w:lvl>
    <w:lvl w:ilvl="2">
      <w:start w:val="1"/>
      <w:numFmt w:val="decimal"/>
      <w:lvlText w:val="%3"/>
      <w:lvlJc w:val="left"/>
      <w:pPr>
        <w:ind w:left="0" w:firstLine="0"/>
      </w:pPr>
      <w:rPr/>
    </w:lvl>
    <w:lvl w:ilvl="3">
      <w:start w:val="1"/>
      <w:numFmt w:val="decimal"/>
      <w:lvlText w:val="%4"/>
      <w:lvlJc w:val="left"/>
      <w:pPr>
        <w:ind w:left="0" w:firstLine="0"/>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numbering" w:styleId="WWOutlineListStyle1" w:customStyle="1">
    <w:name w:val="WW_OutlineListStyle_1"/>
    <w:basedOn w:val="NoList"/>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b w:val="1"/>
      <w:color w:val="365f91"/>
      <w:sz w:val="36"/>
      <w:szCs w:val="28"/>
      <w:lang w:eastAsia="ja-JP"/>
    </w:rPr>
  </w:style>
  <w:style w:type="paragraph" w:styleId="TitleText" w:customStyle="1">
    <w:name w:val="TitleText"/>
    <w:basedOn w:val="Normal"/>
    <w:pPr>
      <w:spacing w:before="3600" w:line="240" w:lineRule="auto"/>
    </w:pPr>
    <w:rPr>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3"/>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val="1"/>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val="1"/>
    <w:pPr>
      <w:tabs>
        <w:tab w:val="num" w:pos="720"/>
      </w:tabs>
      <w:ind w:left="720" w:hanging="720"/>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tabs>
        <w:tab w:val="num" w:pos="720"/>
      </w:tabs>
      <w:ind w:left="720" w:hanging="720"/>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val="1"/>
    </w:pPr>
  </w:style>
  <w:style w:type="paragraph" w:styleId="DfESOutNumbered" w:customStyle="1">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style>
  <w:style w:type="numbering" w:styleId="LFO3" w:customStyle="1">
    <w:name w:val="LFO3"/>
    <w:basedOn w:val="NoList"/>
  </w:style>
  <w:style w:type="numbering" w:styleId="LFO4" w:customStyle="1">
    <w:name w:val="LFO4"/>
    <w:basedOn w:val="NoList"/>
  </w:style>
  <w:style w:type="numbering" w:styleId="LFO6" w:customStyle="1">
    <w:name w:val="LFO6"/>
    <w:basedOn w:val="NoList"/>
  </w:style>
  <w:style w:type="numbering" w:styleId="LFO9" w:customStyle="1">
    <w:name w:val="LFO9"/>
    <w:basedOn w:val="NoList"/>
  </w:style>
  <w:style w:type="numbering" w:styleId="LFO10" w:customStyle="1">
    <w:name w:val="LFO10"/>
    <w:basedOn w:val="NoList"/>
  </w:style>
  <w:style w:type="numbering" w:styleId="LFO25" w:customStyle="1">
    <w:name w:val="LFO25"/>
    <w:basedOn w:val="NoList"/>
  </w:style>
  <w:style w:type="numbering" w:styleId="LFO28" w:customStyle="1">
    <w:name w:val="LFO28"/>
    <w:basedOn w:val="NoList"/>
  </w:style>
  <w:style w:type="numbering" w:styleId="LFO30" w:customStyle="1">
    <w:name w:val="LFO30"/>
    <w:basedOn w:val="NoList"/>
  </w:style>
  <w:style w:type="numbering" w:styleId="LFO34" w:customStyle="1">
    <w:name w:val="LFO34"/>
    <w:basedOn w:val="NoList"/>
  </w:style>
  <w:style w:type="numbering" w:styleId="LFO36" w:customStyle="1">
    <w:name w:val="LFO36"/>
    <w:basedOn w:val="NoList"/>
  </w:style>
  <w:style w:type="paragraph" w:styleId="Revision">
    <w:name w:val="Revision"/>
    <w:hidden w:val="1"/>
    <w:uiPriority w:val="99"/>
    <w:semiHidden w:val="1"/>
    <w:rsid w:val="00115538"/>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val="1"/>
    <w:rsid w:val="00721B51"/>
  </w:style>
  <w:style w:type="character" w:styleId="ui-provider" w:customStyle="1">
    <w:name w:val="ui-provider"/>
    <w:basedOn w:val="DefaultParagraphFont"/>
    <w:rsid w:val="00287FA8"/>
  </w:style>
  <w:style w:type="paragraph" w:styleId="NoSpacing">
    <w:name w:val="No Spacing"/>
    <w:uiPriority w:val="1"/>
    <w:qFormat w:val="1"/>
    <w:rsid w:val="00530419"/>
    <w:pPr>
      <w:suppressAutoHyphens w:val="1"/>
    </w:p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table" w:styleId="ad" w:customStyle="1">
    <w:basedOn w:val="TableNormal"/>
    <w:tblPr>
      <w:tblStyleRowBandSize w:val="1"/>
      <w:tblStyleColBandSize w:val="1"/>
      <w:tblCellMar>
        <w:left w:w="10.0" w:type="dxa"/>
        <w:right w:w="10.0" w:type="dxa"/>
      </w:tblCellMar>
    </w:tblPr>
  </w:style>
  <w:style w:type="table" w:styleId="ae" w:customStyle="1">
    <w:basedOn w:val="TableNormal"/>
    <w:tblPr>
      <w:tblStyleRowBandSize w:val="1"/>
      <w:tblStyleColBandSize w:val="1"/>
      <w:tblCellMar>
        <w:left w:w="10.0" w:type="dxa"/>
        <w:right w:w="10.0" w:type="dxa"/>
      </w:tblCellMar>
    </w:tblPr>
  </w:style>
  <w:style w:type="table" w:styleId="af" w:customStyle="1">
    <w:basedOn w:val="TableNormal"/>
    <w:tblPr>
      <w:tblStyleRowBandSize w:val="1"/>
      <w:tblStyleColBandSize w:val="1"/>
      <w:tblCellMar>
        <w:left w:w="10.0" w:type="dxa"/>
        <w:right w:w="10.0" w:type="dxa"/>
      </w:tblCellMar>
    </w:tblPr>
  </w:style>
  <w:style w:type="table" w:styleId="af0" w:customStyle="1">
    <w:basedOn w:val="TableNormal"/>
    <w:tblPr>
      <w:tblStyleRowBandSize w:val="1"/>
      <w:tblStyleColBandSize w:val="1"/>
      <w:tblCellMar>
        <w:left w:w="10.0" w:type="dxa"/>
        <w:right w:w="10.0" w:type="dxa"/>
      </w:tblCellMar>
    </w:tblPr>
  </w:style>
  <w:style w:type="table" w:styleId="af1" w:customStyle="1">
    <w:basedOn w:val="TableNormal"/>
    <w:tblPr>
      <w:tblStyleRowBandSize w:val="1"/>
      <w:tblStyleColBandSize w:val="1"/>
      <w:tblCellMar>
        <w:left w:w="10.0" w:type="dxa"/>
        <w:right w:w="10.0" w:type="dxa"/>
      </w:tblCellMar>
    </w:tblPr>
  </w:style>
  <w:style w:type="table" w:styleId="af2" w:customStyle="1">
    <w:basedOn w:val="TableNormal"/>
    <w:tblPr>
      <w:tblStyleRowBandSize w:val="1"/>
      <w:tblStyleColBandSize w:val="1"/>
      <w:tblCellMar>
        <w:left w:w="115.0" w:type="dxa"/>
        <w:right w:w="115.0" w:type="dxa"/>
      </w:tblCellMar>
    </w:tblPr>
  </w:style>
  <w:style w:type="character" w:styleId="inqyif" w:customStyle="1">
    <w:name w:val="inqyif"/>
    <w:basedOn w:val="DefaultParagraphFont"/>
    <w:rsid w:val="00487A0F"/>
  </w:style>
  <w:style w:type="character" w:styleId="yadgie" w:customStyle="1">
    <w:name w:val="yadgie"/>
    <w:basedOn w:val="DefaultParagraphFont"/>
    <w:rsid w:val="00EC5CCC"/>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educationendowmentfoundation.org.uk/measures-database/wellcomm-the-complete-speech-language-tool-kit" TargetMode="External"/><Relationship Id="rId10" Type="http://schemas.openxmlformats.org/officeDocument/2006/relationships/hyperlink" Target="https://www.cambridgemaths.org/Images/espresso_1_learning_and_assessing_times_tables.pdf"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endowmentfoundation.org.uk/education-evidence/inclusive-teach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oice21.org/oracy-across-the-curriculum-the-evidence/" TargetMode="External"/><Relationship Id="rId8" Type="http://schemas.openxmlformats.org/officeDocument/2006/relationships/hyperlink" Target="https://www.gov.uk/government/publications/giving-every-child-the-best-start-in-lif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KxrJhEVIZ4zHnQxLM7XYRpQI2A==">CgMxLjAyDmguNDB2YWoyNDJkcXRsMg5oLjQ0ODBmNmZlZDc3cDIOaC5yYXloMnk1NXMyZGgyDmgueXkweXFrZ3UzaXJiMg1oLnVteDZoOHk4ZXRlMg5oLm9hc3BjZDFlOGhuNTgAciExV2lXZXdlcUd3aFY0TXF6TFRjNEUwV2RrbFlwNWpKakg=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2026-08-05T11:44:00Z</dcterms:created>
  <dc:creator>Department for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